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6945" w14:textId="77777777" w:rsidR="000601B9" w:rsidRPr="0053101F" w:rsidRDefault="000601B9" w:rsidP="000601B9">
      <w:pPr>
        <w:spacing w:after="100" w:line="240" w:lineRule="auto"/>
        <w:jc w:val="center"/>
        <w:rPr>
          <w:rFonts w:ascii="Arial" w:eastAsia="Times New Roman" w:hAnsi="Arial" w:cs="Arial"/>
          <w:color w:val="000000"/>
          <w:sz w:val="40"/>
          <w:szCs w:val="40"/>
          <w:lang w:eastAsia="es-ES"/>
        </w:rPr>
      </w:pPr>
      <w:r w:rsidRPr="0053101F">
        <w:rPr>
          <w:rFonts w:ascii="Arial" w:eastAsia="Times New Roman" w:hAnsi="Arial" w:cs="Arial"/>
          <w:b/>
          <w:bCs/>
          <w:color w:val="FF0000"/>
          <w:sz w:val="40"/>
          <w:szCs w:val="40"/>
          <w:lang w:eastAsia="es-ES"/>
        </w:rPr>
        <w:t>LEY 8/2020, DE 16-12, POR LA QUE SE ADOPTAN DETERMINADAS MEDIDAS URGENTES EN MATERIA DE AGRICULTURA Y ALIMENTACIÓN (BOE 17-12)</w:t>
      </w:r>
    </w:p>
    <w:p w14:paraId="186424C1" w14:textId="77777777" w:rsidR="000601B9" w:rsidRPr="000601B9" w:rsidRDefault="000601B9" w:rsidP="000601B9">
      <w:pPr>
        <w:spacing w:after="100" w:line="240" w:lineRule="auto"/>
        <w:jc w:val="center"/>
        <w:rPr>
          <w:rFonts w:ascii="Arial" w:eastAsia="Times New Roman" w:hAnsi="Arial" w:cs="Arial"/>
          <w:color w:val="000000"/>
          <w:sz w:val="20"/>
          <w:szCs w:val="20"/>
          <w:lang w:eastAsia="es-ES"/>
        </w:rPr>
      </w:pPr>
      <w:r w:rsidRPr="000601B9">
        <w:rPr>
          <w:rFonts w:ascii="Arial" w:eastAsia="Times New Roman" w:hAnsi="Arial" w:cs="Arial"/>
          <w:b/>
          <w:bCs/>
          <w:color w:val="000000"/>
          <w:sz w:val="20"/>
          <w:szCs w:val="20"/>
          <w:lang w:eastAsia="es-ES"/>
        </w:rPr>
        <w:t>PREÁMBULO</w:t>
      </w:r>
    </w:p>
    <w:p w14:paraId="54E2CBCA" w14:textId="77777777" w:rsidR="000601B9" w:rsidRPr="000601B9" w:rsidRDefault="000601B9" w:rsidP="000601B9">
      <w:pPr>
        <w:spacing w:after="100" w:line="240" w:lineRule="auto"/>
        <w:jc w:val="center"/>
        <w:rPr>
          <w:rFonts w:ascii="Arial" w:eastAsia="Times New Roman" w:hAnsi="Arial" w:cs="Arial"/>
          <w:color w:val="000000"/>
          <w:sz w:val="20"/>
          <w:szCs w:val="20"/>
          <w:lang w:eastAsia="es-ES"/>
        </w:rPr>
      </w:pPr>
      <w:r w:rsidRPr="000601B9">
        <w:rPr>
          <w:rFonts w:ascii="Arial" w:eastAsia="Times New Roman" w:hAnsi="Arial" w:cs="Arial"/>
          <w:b/>
          <w:bCs/>
          <w:color w:val="000000"/>
          <w:sz w:val="20"/>
          <w:szCs w:val="20"/>
          <w:lang w:eastAsia="es-ES"/>
        </w:rPr>
        <w:t>I</w:t>
      </w:r>
    </w:p>
    <w:p w14:paraId="1BB0EFC2"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La </w:t>
      </w:r>
      <w:r w:rsidRPr="00897B64">
        <w:rPr>
          <w:rFonts w:ascii="Comic Sans MS" w:eastAsia="Times New Roman" w:hAnsi="Comic Sans MS" w:cs="Arial"/>
          <w:color w:val="000000"/>
          <w:sz w:val="24"/>
          <w:szCs w:val="24"/>
          <w:u w:val="single"/>
          <w:lang w:eastAsia="es-ES"/>
        </w:rPr>
        <w:t>confluencia de factores </w:t>
      </w:r>
      <w:r w:rsidRPr="00897B64">
        <w:rPr>
          <w:rFonts w:ascii="Comic Sans MS" w:eastAsia="Times New Roman" w:hAnsi="Comic Sans MS" w:cs="Arial"/>
          <w:color w:val="000000"/>
          <w:sz w:val="24"/>
          <w:szCs w:val="24"/>
          <w:lang w:eastAsia="es-ES"/>
        </w:rPr>
        <w:t>de diversa índole, como:</w:t>
      </w:r>
    </w:p>
    <w:p w14:paraId="6DEAA41D"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 la caída sostenida de precios percibidos por los agricultores</w:t>
      </w:r>
    </w:p>
    <w:p w14:paraId="5DA6E70B"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 el aumento de la frecuencia de los daños por fenómenos climáticos extremos, en particular en los últimos meses, en que se han sucedido, prácticamente sin interrupción, fenómenos tan adversos como las encadenadas depresiones aisladas en niveles altos (DANAs) y la borrasca Gloria</w:t>
      </w:r>
    </w:p>
    <w:p w14:paraId="66FA6A3C"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 las tensiones comerciales, la volatilidad de las cotizaciones de las materias primas, el incremento de los costes de los insumos agrarios y ganaderos, como la energía, el creciente impulso de exigencias en la producción</w:t>
      </w:r>
    </w:p>
    <w:p w14:paraId="2FCA6673"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 la falta de equilibrio en la fijación de precios en la cadena alimentaria, han conducido a una situación de crisis sin precedentes del sector agrario que obliga a los poderes públicos a intervenir de manera urgente.</w:t>
      </w:r>
    </w:p>
    <w:p w14:paraId="02C91DC7"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Por otra parte, </w:t>
      </w:r>
      <w:r w:rsidRPr="00897B64">
        <w:rPr>
          <w:rFonts w:ascii="Comic Sans MS" w:eastAsia="Times New Roman" w:hAnsi="Comic Sans MS" w:cs="Arial"/>
          <w:color w:val="000000"/>
          <w:sz w:val="24"/>
          <w:szCs w:val="24"/>
          <w:u w:val="single"/>
          <w:lang w:eastAsia="es-ES"/>
        </w:rPr>
        <w:t>el sector agrario es vulnerable</w:t>
      </w:r>
      <w:r w:rsidRPr="00897B64">
        <w:rPr>
          <w:rFonts w:ascii="Comic Sans MS" w:eastAsia="Times New Roman" w:hAnsi="Comic Sans MS" w:cs="Arial"/>
          <w:color w:val="000000"/>
          <w:sz w:val="24"/>
          <w:szCs w:val="24"/>
          <w:lang w:eastAsia="es-ES"/>
        </w:rPr>
        <w:t> por sus propias características, pues se trata de un sector muy atomizado, estacionario y con una elevada rigidez de la demanda, por la propia naturaleza perecedera de la producción, y de manera paulatina ha tendido hacia un desequilibrio estructural del mercado, alcanzando en la actualidad cotas sin precedentes, con la consiguiente pérdida de tejido productivo y de empleo en el campo.</w:t>
      </w:r>
    </w:p>
    <w:p w14:paraId="78880028"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Ese fenómeno, que es común en países de nuestro entorno, ha propiciado que la Comisión Europea y el Parlamento Europeo, mediante distintas comunicaciones, hayan ido profundizando en el análisis y en la identificación de los problemas reales. A todas estas iniciativas se han sumado otras instituciones europeas, como el Consejo de Ministros de Competitividad y Agricultura o el Comité Económico y Social, que han evidenciado la gravedad y extensión global de este problema, subrayando la necesidad de que los Estados adopten medidas, ampliando el marco normativo significativamente en tiempos recientes, con una apuesta esencial en favor del reequilibrio de la cadena y ampliando notablemente el margen de acción para los Estados miembros. Debe tenerse en cuenta que el número y el tamaño de los agentes varían en las distintas etapas de la cadena de suministro agrícola y alimentario. Hay diferencias en el poder de negociación, que se corresponden con la dependencia económica del proveedor respecto del comprador, y es probable que conduzcan a que los agentes más grandes impongan prácticas comerciales desleales a los agentes más pequeños.</w:t>
      </w:r>
    </w:p>
    <w:p w14:paraId="147AE676"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Así, en el marco de la cadena de suministro agrícola y alimentario, se producen con frecuencia desequilibrios importantes en cuanto a poder de negociación entre proveedores y compradores de productos agrícolas y alimentarios. Estos desequilibrios en el poder de negociación es probable que conduzcan a prácticas comerciales desleales, si los socios comerciales de mayor tamaño y poder tratan de imponer determinadas prácticas o disposiciones contractuales que les benefician en relación con una transacción de venta. Estas prácticas pueden, por ejemplo, apartarse en gran medida de las buenas conductas comerciales, ser contrarias a la buena fe y a un trato justo e imponerse de manera unilateral por una de las partes a la otra; o imponer una transferencia desproporcionada e injustificada de riesgo económico de una de las partes a la otra; o imponer un desequilibrio importante de derechos y obligaciones a una de las partes.</w:t>
      </w:r>
    </w:p>
    <w:p w14:paraId="49E804DF"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Como consecuencia de todo lo anteriormente expuesto, el Gobierno aprobó el </w:t>
      </w:r>
      <w:hyperlink r:id="rId4" w:history="1">
        <w:r w:rsidRPr="00897B64">
          <w:rPr>
            <w:rFonts w:ascii="Comic Sans MS" w:eastAsia="Times New Roman" w:hAnsi="Comic Sans MS" w:cs="Arial"/>
            <w:b/>
            <w:bCs/>
            <w:color w:val="0000FF"/>
            <w:sz w:val="24"/>
            <w:szCs w:val="24"/>
            <w:u w:val="single"/>
            <w:lang w:eastAsia="es-ES"/>
          </w:rPr>
          <w:t>Real Decreto-ley 5/2020, de 25-2</w:t>
        </w:r>
      </w:hyperlink>
      <w:r w:rsidRPr="00897B64">
        <w:rPr>
          <w:rFonts w:ascii="Comic Sans MS" w:eastAsia="Times New Roman" w:hAnsi="Comic Sans MS" w:cs="Arial"/>
          <w:color w:val="000000"/>
          <w:sz w:val="24"/>
          <w:szCs w:val="24"/>
          <w:lang w:eastAsia="es-ES"/>
        </w:rPr>
        <w:t>, por el que se adoptan determinadas </w:t>
      </w:r>
      <w:r w:rsidRPr="00897B64">
        <w:rPr>
          <w:rFonts w:ascii="Comic Sans MS" w:eastAsia="Times New Roman" w:hAnsi="Comic Sans MS" w:cs="Arial"/>
          <w:color w:val="000000"/>
          <w:sz w:val="24"/>
          <w:szCs w:val="24"/>
          <w:u w:val="single"/>
          <w:lang w:eastAsia="es-ES"/>
        </w:rPr>
        <w:t>medidas urgentes en materia de agricultura y alimentación</w:t>
      </w:r>
      <w:r w:rsidRPr="00897B64">
        <w:rPr>
          <w:rFonts w:ascii="Comic Sans MS" w:eastAsia="Times New Roman" w:hAnsi="Comic Sans MS" w:cs="Arial"/>
          <w:color w:val="000000"/>
          <w:sz w:val="24"/>
          <w:szCs w:val="24"/>
          <w:lang w:eastAsia="es-ES"/>
        </w:rPr>
        <w:t>, que tras su convalidación por el Congreso de los Diputados ha sido tramitado como Proyecto de ley.</w:t>
      </w:r>
    </w:p>
    <w:p w14:paraId="650FCE34"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lang w:eastAsia="es-ES"/>
        </w:rPr>
        <w:t>II</w:t>
      </w:r>
    </w:p>
    <w:p w14:paraId="2A669003"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Las circunstancias descritas obligan a los poderes públicos a adoptar </w:t>
      </w:r>
      <w:r w:rsidRPr="00897B64">
        <w:rPr>
          <w:rFonts w:ascii="Comic Sans MS" w:eastAsia="Times New Roman" w:hAnsi="Comic Sans MS" w:cs="Arial"/>
          <w:color w:val="000000"/>
          <w:sz w:val="24"/>
          <w:szCs w:val="24"/>
          <w:u w:val="single"/>
          <w:lang w:eastAsia="es-ES"/>
        </w:rPr>
        <w:t>medidas enfocadas a mejorar la rentabilidad de las explotaciones agrarias</w:t>
      </w:r>
      <w:r w:rsidRPr="00897B64">
        <w:rPr>
          <w:rFonts w:ascii="Comic Sans MS" w:eastAsia="Times New Roman" w:hAnsi="Comic Sans MS" w:cs="Arial"/>
          <w:color w:val="000000"/>
          <w:sz w:val="24"/>
          <w:szCs w:val="24"/>
          <w:lang w:eastAsia="es-ES"/>
        </w:rPr>
        <w:t>. Cabe destacar por su inmediatez aquellas que mitiguen las dificultades extremas en que se sitúa una buena parte del sector dedicado a la producción primaria. Se trata de actuaciones de carácter urgente y de todo punto inaplazable, que tienen como finalidad evitar el abandono de las explotaciones agrarias y asegurar en la medida de lo posible un reparto equitativo de los costes sociales, ambientales, de competitividad y de sostenibilidad, que se residencian de modo agravado en los operadores que dedican sus esfuerzos al sector primario y, muy especialmente, a los eslabones menos protegidos y más vulnerables, que permitan el mantenimiento y doten de estabilidad a las explotaciones agrarias.</w:t>
      </w:r>
    </w:p>
    <w:p w14:paraId="3BAF84E1"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Por ese motivo, la presente Ley incorpora un conjunto sistemático de medidas concretas y con efectos tangibles, que reduzcan los factores perjudiciales y garanticen el nivel de vida, destinadas a mejorar la posición negociadora, la equidad de las relaciones y el justo reparto de los costes generales del sector primario.</w:t>
      </w:r>
    </w:p>
    <w:p w14:paraId="578971A5"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Como elemento primordial, se introducen únicamente </w:t>
      </w:r>
      <w:r w:rsidRPr="00897B64">
        <w:rPr>
          <w:rFonts w:ascii="Comic Sans MS" w:eastAsia="Times New Roman" w:hAnsi="Comic Sans MS" w:cs="Arial"/>
          <w:color w:val="000000"/>
          <w:sz w:val="24"/>
          <w:szCs w:val="24"/>
          <w:u w:val="single"/>
          <w:lang w:eastAsia="es-ES"/>
        </w:rPr>
        <w:t>medidas regulatorias puntuales en el ámbito de la cadena alimentaria</w:t>
      </w:r>
      <w:r w:rsidRPr="00897B64">
        <w:rPr>
          <w:rFonts w:ascii="Comic Sans MS" w:eastAsia="Times New Roman" w:hAnsi="Comic Sans MS" w:cs="Arial"/>
          <w:color w:val="000000"/>
          <w:sz w:val="24"/>
          <w:szCs w:val="24"/>
          <w:lang w:eastAsia="es-ES"/>
        </w:rPr>
        <w:t> cuya adopción se considera inaplazable, por los motivos señalados. Se anticipa a la futura reforma en profundidad, que está previsto acometerse más adelante, de la Ley 12/2013, de 2-8, de </w:t>
      </w:r>
      <w:r w:rsidRPr="00897B64">
        <w:rPr>
          <w:rFonts w:ascii="Comic Sans MS" w:eastAsia="Times New Roman" w:hAnsi="Comic Sans MS" w:cs="Arial"/>
          <w:color w:val="000000"/>
          <w:sz w:val="24"/>
          <w:szCs w:val="24"/>
          <w:u w:val="single"/>
          <w:lang w:eastAsia="es-ES"/>
        </w:rPr>
        <w:t>medidas para mejorar el funcionamiento de la cadena alimentaria</w:t>
      </w:r>
      <w:r w:rsidRPr="00897B64">
        <w:rPr>
          <w:rFonts w:ascii="Comic Sans MS" w:eastAsia="Times New Roman" w:hAnsi="Comic Sans MS" w:cs="Arial"/>
          <w:color w:val="000000"/>
          <w:sz w:val="24"/>
          <w:szCs w:val="24"/>
          <w:lang w:eastAsia="es-ES"/>
        </w:rPr>
        <w:t>, en aras de incorporar en ese momento en dicha regulación lo dispuesto en la Directiva (UE) 2019/633 del Parlamento Europeo y del Consejo, de 17-4-2019, relativa a las prácticas comerciales desleales en las relaciones entre empresas en la cadena de suministro agrícola y alimentario, la cual se emprenderá sin demora, asegurando la participación pública, en especial, de todos los agentes sociales que intervienen en la cadena alimentaria así como de instituciones públicas y privadas. A pesar de que la Ley ha funcionado, existen elementos que ahora requieren de medidas urgentes para asegurar su plena eficacia.</w:t>
      </w:r>
    </w:p>
    <w:p w14:paraId="4ED9B2D6"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La actividad de los poderes públicos ha de partir de un enfoque diferenciado con respecto de otros subsectores económicos, de modo que se asegure un correcto funcionamiento que parta de la necesaria garantía de la cadena de valor, que pueda ser sostenible para todos los operadores, mejorando también la posición de los consumidores y usuarios.</w:t>
      </w:r>
    </w:p>
    <w:p w14:paraId="10AEAB2A"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La principal novedad en el ámbito de la cadena alimentaria consiste en obligar a que cada operador abone al inmediatamente anterior un precio igual o superior al coste de producción de tal producto en que haya incurrido dicho operador, de modo que se preserve ese valor agregado creciente que fundamenta uno de los ejes vertebradores de la acción pública en este sector, que contribuya a aumentar su competitividad global a través del valor añadido y que, en último término, revierta en beneficio de toda la sociedad. Asimismo, se previene que el operador que realice la venta final del producto al consumidor pueda repercutir a ninguno de los operadores anteriores el riesgo empresarial derivado de su política comercial en materia de precios ofertados al público.</w:t>
      </w:r>
    </w:p>
    <w:p w14:paraId="17E9218F"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También se prevé como novedad destacada la inclusión del coste de producción en el precio como elemento mínimo de los contratos. En el texto originario de la Ley se tiene en cuenta, en la composición del precio, el conjunto de factores objetivos, verificables y no manipulables que deben ser expresamente establecidos en el contrato, si bien no incluye expresamente un factor que se considera esencial para su determinación como es el coste de producción.</w:t>
      </w:r>
    </w:p>
    <w:p w14:paraId="65B9205F"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Con el fin de asegurar el cumplimiento de esas premisas, la norma incorpora una lista ejemplificativa de elementos que considerar para las explotaciones agrarias, tales como semillas, fertilizantes, pesticidas, energía o maquinaria, e índices que, entre otros, puedan emplearse para asegurar esa objetividad en su determinación, como los publicados por el Ministerio de Agricultura, Pesca y Alimentación. Esta medida resulta de capital importancia, pues permite cerrar el círculo de la cadena de valor, ya que su libre determinación conforme a las reglas de mercado permite cohonestar la libre formación de la voluntad y la autorregulación de oferta y demanda con el aseguramiento de que esos costes efectivos de producción –que además deberán cubrirse con el precio y aparecer así en el contrato– no se destruyen en estadios sucesivos de la cadena.</w:t>
      </w:r>
    </w:p>
    <w:p w14:paraId="0A1BC9E9"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En este punto, se introducen precisiones con el fin de impedir que en dicha determinación del coste se introduzcan factores que lo distorsionen, como las referencias circulares, es decir, las que se obtienen de precios participados por otros operadores o por el propio operador.</w:t>
      </w:r>
    </w:p>
    <w:p w14:paraId="671DAA9C"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Por otro lado, cabe destacar la novedosa exigencia de que las actividades promocionales que se realicen en el ámbito de aplicación de la ley de la cadena se desplieguen en un marco equitativo de obligaciones y derechos, entre los que cabe destacar que se base en el acuerdo y libertad de pactos, para los cuales se establecen unos contenidos mínimos; el interés mutuo; y la flexibilidad para adaptarse a las circunstancias particulares de los distintos operadores, sin que puedan realizarse actividades promocionales entre los mismos que induzcan a error sobre el precio e imagen de los productos, con el fin de evitar que se perjudique la percepción en la cadena sobre la calidad o valor de los productos, banalizando una actividad esencial para la economía y sociedad.</w:t>
      </w:r>
    </w:p>
    <w:p w14:paraId="782720FF"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Debe destacarse, a efectos de ajustar su correcto encaje en el ordenamiento, que se trata de una medida sectorial encaminada a la protección desde otra perspectiva de la cadena de valor en el sector agroalimentario y que no se dirige a los consumidores, a efectos de su clara diferenciación con otras normas sectoriales, que se aplicarán sin perjuicio de esta novedosa previsión normativa que, por lo demás, ya se encontraba recogida como </w:t>
      </w:r>
      <w:r w:rsidRPr="00897B64">
        <w:rPr>
          <w:rFonts w:ascii="Comic Sans MS" w:eastAsia="Times New Roman" w:hAnsi="Comic Sans MS" w:cs="Arial"/>
          <w:i/>
          <w:iCs/>
          <w:color w:val="000000"/>
          <w:sz w:val="24"/>
          <w:szCs w:val="24"/>
          <w:lang w:eastAsia="es-ES"/>
        </w:rPr>
        <w:t>soft law</w:t>
      </w:r>
      <w:r w:rsidRPr="00897B64">
        <w:rPr>
          <w:rFonts w:ascii="Comic Sans MS" w:eastAsia="Times New Roman" w:hAnsi="Comic Sans MS" w:cs="Arial"/>
          <w:color w:val="000000"/>
          <w:sz w:val="24"/>
          <w:szCs w:val="24"/>
          <w:lang w:eastAsia="es-ES"/>
        </w:rPr>
        <w:t> en el Código de Buenas Prácticas Mercantiles en la Contratación Alimentaria.</w:t>
      </w:r>
    </w:p>
    <w:p w14:paraId="1029E049"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Asimismo, adelantándose a la exigencia de la actual normativa europea en la materia, se prevé la publicidad de las infracciones graves y muy graves, con fines disuasorios, pero también punitivos, puesto que el elemento reputacional es esencial en el sector y es procedente, conforme indica el legislador europeo, que el público tenga conocimiento de los operadores que han sido objeto de sanción por las autoridades competentes. Con el fin de asegurar el pleno respeto a los derechos de los administrados y encontrar una solución ponderada, la norma restringe esta publicidad a las que hayan adquirido firmeza en vía administrativa o, en caso de haberse interpuesto recurso contencioso-administrativo, en vía judicial. En el caso de las sanciones que imponga la Administración General del Estado, esta publicidad se dará por medio de la página web del Ministerio de Agricultura, Pesca y Alimentación.</w:t>
      </w:r>
    </w:p>
    <w:p w14:paraId="318DF78F"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Por otro lado, la norma incluye una modificación concreta que afecta a la fiscalidad de estas actividades en un elemento muy sensible y de una importancia capital para el sector.</w:t>
      </w:r>
    </w:p>
    <w:p w14:paraId="2E5EF4C7"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Existe una generalizada preocupación por el actual tratamiento fiscal de las ayudas a la incorporación de jóvenes a la actividad agraria, una de las líneas esenciales de la política de renovación del sector primario y uno de los ejes sobre los que versará la nueva Política Agrícola Común (PAC), en cuanto a su imputación temporal. El cambio de calificación fiscal de las subvenciones a la incorporación de jóvenes agricultores, derivadas del Marco Nacional de Desarrollo Rural, ha dificultado que puedan acceder a estas una parte de los agricultores, desincentivando estas medidas, esenciales en el proceso de renovación del proceso productivo. Mientras en el Marco Nacional del periodo 2007-2013 se contemplaban las ayudas a la instalación de jóvenes agricultores, como </w:t>
      </w:r>
      <w:r w:rsidRPr="00897B64">
        <w:rPr>
          <w:rFonts w:ascii="Comic Sans MS" w:eastAsia="Times New Roman" w:hAnsi="Comic Sans MS" w:cs="Arial"/>
          <w:color w:val="000000"/>
          <w:sz w:val="24"/>
          <w:szCs w:val="24"/>
          <w:u w:val="single"/>
          <w:lang w:eastAsia="es-ES"/>
        </w:rPr>
        <w:t>medidas destinadas a inversiones y gastos de instalación</w:t>
      </w:r>
      <w:r w:rsidRPr="00897B64">
        <w:rPr>
          <w:rFonts w:ascii="Comic Sans MS" w:eastAsia="Times New Roman" w:hAnsi="Comic Sans MS" w:cs="Arial"/>
          <w:color w:val="000000"/>
          <w:sz w:val="24"/>
          <w:szCs w:val="24"/>
          <w:lang w:eastAsia="es-ES"/>
        </w:rPr>
        <w:t>, el Marco Nacional 2014-2020 las condiciona directamente al desarrollo de un plan empresarial. En consecuencia, fiscalmente han pasado de considerarse subvenciones de capital a subvenciones corrientes como ayuda a la renta, lo que obliga al perceptor a tener que sufragar la totalidad del impuesto en el primer momento, sin posibilidad de fraccionamiento del pago a lo largo del período cuatrienal de percepción.</w:t>
      </w:r>
    </w:p>
    <w:p w14:paraId="0BE1493E"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Por consiguiente, en muchos casos se liquidan los impuestos de una ayuda aún no percibida, lo que puede desincentivar precisamente la apuesta por el relevo generacional a través de esta medida. En consecuencia, se adapta la normativa del IRPF para permitir en este supuesto, al igual que ya sucede en otros análogos, tributar en varios ejercicios. Esta reforma es de gran importancia y responde a una demanda tradicional del sector, dado que la incorporación de jóvenes es una de las líneas esenciales de la política de renovación del sector primario y uno de los ejes de la nueva PAC. Siendo sus efectos muy relevantes, no obstante, tiene coste cero para las arcas públicas pues permite el pago del impuesto a lo largo de las anualidades de ejecución de las ayudas, sin disminuir el volumen final de ingresos públicos, pero acomodándolo al marco temporal en que se recibe la ayuda.</w:t>
      </w:r>
    </w:p>
    <w:p w14:paraId="5CC385EC"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Asimismo, la presente Ley procede a introducir importantes </w:t>
      </w:r>
      <w:r w:rsidRPr="00897B64">
        <w:rPr>
          <w:rFonts w:ascii="Comic Sans MS" w:eastAsia="Times New Roman" w:hAnsi="Comic Sans MS" w:cs="Arial"/>
          <w:color w:val="000000"/>
          <w:sz w:val="24"/>
          <w:szCs w:val="24"/>
          <w:u w:val="single"/>
          <w:lang w:eastAsia="es-ES"/>
        </w:rPr>
        <w:t>medidas en materia de empleo</w:t>
      </w:r>
      <w:r w:rsidRPr="00897B64">
        <w:rPr>
          <w:rFonts w:ascii="Comic Sans MS" w:eastAsia="Times New Roman" w:hAnsi="Comic Sans MS" w:cs="Arial"/>
          <w:color w:val="000000"/>
          <w:sz w:val="24"/>
          <w:szCs w:val="24"/>
          <w:lang w:eastAsia="es-ES"/>
        </w:rPr>
        <w:t> en este ámbito de actividad, de manera que se haga frente a las especiales circunstancias en que se desenvuelve el mercado de trabajo en el campo.</w:t>
      </w:r>
    </w:p>
    <w:p w14:paraId="53F583A1"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Se trata de establecer </w:t>
      </w:r>
      <w:r w:rsidRPr="00897B64">
        <w:rPr>
          <w:rFonts w:ascii="Comic Sans MS" w:eastAsia="Times New Roman" w:hAnsi="Comic Sans MS" w:cs="Arial"/>
          <w:color w:val="000000"/>
          <w:sz w:val="24"/>
          <w:szCs w:val="24"/>
          <w:u w:val="single"/>
          <w:lang w:eastAsia="es-ES"/>
        </w:rPr>
        <w:t>medidas de protección de los trabajadores eventuales afectados por el descenso de actividad</w:t>
      </w:r>
      <w:r w:rsidRPr="00897B64">
        <w:rPr>
          <w:rFonts w:ascii="Comic Sans MS" w:eastAsia="Times New Roman" w:hAnsi="Comic Sans MS" w:cs="Arial"/>
          <w:color w:val="000000"/>
          <w:sz w:val="24"/>
          <w:szCs w:val="24"/>
          <w:lang w:eastAsia="es-ES"/>
        </w:rPr>
        <w:t>, provocado por los cambios progresivamente acuciantes en la estructura productiva del país y, por otra parte, medidas de apoyo a los empresarios agrarios, con el fin de impedir que los efectos derivados de la pérdida de rentabilidad puedan redundar en una pérdida acelerada del empleo en la agricultura y de sostenibilidad financiera de las explotaciones.</w:t>
      </w:r>
    </w:p>
    <w:p w14:paraId="0CC7899D"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En relación con la </w:t>
      </w:r>
      <w:r w:rsidRPr="00897B64">
        <w:rPr>
          <w:rFonts w:ascii="Comic Sans MS" w:eastAsia="Times New Roman" w:hAnsi="Comic Sans MS" w:cs="Arial"/>
          <w:color w:val="000000"/>
          <w:sz w:val="24"/>
          <w:szCs w:val="24"/>
          <w:u w:val="single"/>
          <w:lang w:eastAsia="es-ES"/>
        </w:rPr>
        <w:t>protección por desempleo</w:t>
      </w:r>
      <w:r w:rsidRPr="00897B64">
        <w:rPr>
          <w:rFonts w:ascii="Comic Sans MS" w:eastAsia="Times New Roman" w:hAnsi="Comic Sans MS" w:cs="Arial"/>
          <w:color w:val="000000"/>
          <w:sz w:val="24"/>
          <w:szCs w:val="24"/>
          <w:lang w:eastAsia="es-ES"/>
        </w:rPr>
        <w:t>, se regula en esta norma una medida de carácter social que tiene como destinatarios a los trabajadores eventuales agrarios residentes en las CC.AA. de Andalucía y Extremadura afectados por el descenso de actividad provocado por diversas circunstancias, mediante la reducción a veinte del número de jornadas necesarias para el acceso al subsidio por desempleo contemplado en el Real Decreto 5/1997, de 10-1, por el que se regula el subsidio por desempleo en favor de los trabajadores eventuales incluidos en el Régimen Especial Agrario de la Seguridad Social, así como a la renta agraria regulada por el Real Decreto 426/2003, de 11-4, paliando así los efectos negativos de la situación descrita en la protección social de un colectivo vulnerable de personas trabajadoras.</w:t>
      </w:r>
    </w:p>
    <w:p w14:paraId="5DF70282"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La medida, de carácter excepcional, se justifica porque, además del conjunto de circunstancias que afectan al sector agrario, en el caso de las CC.AA. de Andalucía y Extremadura, y de acuerdo con los datos proporcionados por el Ministerio de Agricultura, Pesca y Alimentación, se ha constatado un importante descenso de la producción del olivar, lo que, unido a las dificultades que han supuesto los aranceles impuestos por Estados Unidos a este sector, ha repercutido en una correlativa disminución del empleo de los trabajadores eventuales agrarios de dichas CC.AA., por lo que se considera que se cumplen las condiciones para regular la reducción del número mínimo de jornadas necesarias para acceder al subsidio por desempleo contemplado en el Real Decreto 5/1997, de 10-1, así como a la renta agraria regulada por el Real Decreto 426/2003, de 11-4.</w:t>
      </w:r>
    </w:p>
    <w:p w14:paraId="68281116"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Además, se recupera para el año 2020 la medida de conversión de contratos temporales de trabajadores eventuales agrarios en contratos indefinidos que incluye a los trabajadores fijos discontinuos, establecida en el </w:t>
      </w:r>
      <w:r w:rsidRPr="00897B64">
        <w:rPr>
          <w:rFonts w:ascii="Comic Sans MS" w:eastAsia="Times New Roman" w:hAnsi="Comic Sans MS" w:cs="Arial"/>
          <w:color w:val="000000"/>
          <w:sz w:val="24"/>
          <w:szCs w:val="24"/>
          <w:u w:val="single"/>
          <w:lang w:eastAsia="es-ES"/>
        </w:rPr>
        <w:t>artículo 7</w:t>
      </w:r>
      <w:r w:rsidRPr="00897B64">
        <w:rPr>
          <w:rFonts w:ascii="Comic Sans MS" w:eastAsia="Times New Roman" w:hAnsi="Comic Sans MS" w:cs="Arial"/>
          <w:color w:val="000000"/>
          <w:sz w:val="24"/>
          <w:szCs w:val="24"/>
          <w:lang w:eastAsia="es-ES"/>
        </w:rPr>
        <w:t> del Real Decreto-ley 8/2019, de 8-3, de medidas urgentes de protección social y de lucha contra la precariedad laboral en la jornada de trabajo. De esta manera se posibilita a las empresas que transformen contratos temporales con trabajadores pertenecientes al Sistema Especial de Trabajadores por Cuenta Ajena Agrarios del Régimen General de la Seguridad Social, incluidos los fijos discontinuos, de manera inmediata el bonificarse la cuota empresarial por contingencias comunes, distinguiéndose su cuantía en función del encuadramiento del trabajador y de la modalidad de cotización –mensual o por jornadas reales trabajadas–. Además, con el objetivo de introducir medidas positivas para reducir la brecha de género, se establecen cuantías incrementadas en el caso de la conversión de contratos de mujeres trabajadoras. A través de este incentivo se busca promocionar la contratación estable en el sector, reduciendo un volumen de precariedad que ha alcanzado niveles insostenibles desde la perspectiva social y promoviendo la estabilidad en el empleo como principio rector de nuestro ordenamiento laboral.</w:t>
      </w:r>
    </w:p>
    <w:p w14:paraId="64246D5B"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Por último, se procede a </w:t>
      </w:r>
      <w:r w:rsidRPr="00897B64">
        <w:rPr>
          <w:rFonts w:ascii="Comic Sans MS" w:eastAsia="Times New Roman" w:hAnsi="Comic Sans MS" w:cs="Arial"/>
          <w:color w:val="000000"/>
          <w:sz w:val="24"/>
          <w:szCs w:val="24"/>
          <w:u w:val="single"/>
          <w:lang w:eastAsia="es-ES"/>
        </w:rPr>
        <w:t>modificar el apartado 1.a) artículo 19</w:t>
      </w:r>
      <w:r w:rsidRPr="00897B64">
        <w:rPr>
          <w:rFonts w:ascii="Comic Sans MS" w:eastAsia="Times New Roman" w:hAnsi="Comic Sans MS" w:cs="Arial"/>
          <w:color w:val="000000"/>
          <w:sz w:val="24"/>
          <w:szCs w:val="24"/>
          <w:lang w:eastAsia="es-ES"/>
        </w:rPr>
        <w:t> de la Ley 23/2015, de 21-7, Ordenadora del Sistema de Inspección de Trabajo y Seguridad Social, que delimita el ámbito de actuación de esta. El tenor literal de dicho apartado determina la exclusión del ámbito de actuación de la Inspección de Trabajo y Seguridad Social respecto de los alojamientos y locales de descanso, ubicados fuera de los centros de trabajo o lugares donde se ejecuta la actividad laboral.</w:t>
      </w:r>
    </w:p>
    <w:p w14:paraId="64841944"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Independientemente del carácter obligatorio o no de la puesta a disposición de dichos lugares por parte de las empresas (sea vía convencional, contractual o legal), una vez que los alojamientos son puestos a disposición de las personas trabajadoras, estos pasan a constituir un elemento de la relación laboral, resultando imprescindible que reúnan las adecuadas condiciones de higiene, salubridad y habitabilidad, de acuerdo con el deber de protección que se atribuye al empresario por el </w:t>
      </w:r>
      <w:r w:rsidRPr="00897B64">
        <w:rPr>
          <w:rFonts w:ascii="Comic Sans MS" w:eastAsia="Times New Roman" w:hAnsi="Comic Sans MS" w:cs="Arial"/>
          <w:color w:val="000000"/>
          <w:sz w:val="24"/>
          <w:szCs w:val="24"/>
          <w:u w:val="single"/>
          <w:lang w:eastAsia="es-ES"/>
        </w:rPr>
        <w:t>artículo 14.2</w:t>
      </w:r>
      <w:r w:rsidRPr="00897B64">
        <w:rPr>
          <w:rFonts w:ascii="Comic Sans MS" w:eastAsia="Times New Roman" w:hAnsi="Comic Sans MS" w:cs="Arial"/>
          <w:color w:val="000000"/>
          <w:sz w:val="24"/>
          <w:szCs w:val="24"/>
          <w:lang w:eastAsia="es-ES"/>
        </w:rPr>
        <w:t> de la Ley 31/1995, de 8-11, de prevención de Riesgos Laborales.</w:t>
      </w:r>
    </w:p>
    <w:p w14:paraId="3ACA4468"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Asimismo, la orden anual por la que se regula la gestión colectiva de contrataciones en origen (para el año 2020 la Orden TMS/1277/2019, de 23-12), incluye entre las obligaciones empresariales «</w:t>
      </w:r>
      <w:r w:rsidRPr="00897B64">
        <w:rPr>
          <w:rFonts w:ascii="Comic Sans MS" w:eastAsia="Times New Roman" w:hAnsi="Comic Sans MS" w:cs="Arial"/>
          <w:i/>
          <w:iCs/>
          <w:color w:val="000000"/>
          <w:sz w:val="24"/>
          <w:szCs w:val="24"/>
          <w:lang w:eastAsia="es-ES"/>
        </w:rPr>
        <w:t>la puesta a disposición del trabajador de un alojamiento adecuado durante la vigencia del contrato de trabajo que reúna las condiciones previstas en la normativa en vigor, debiendo quedar garantizada, en todo caso, la habitabilidad e higiene adecuada del alojamiento</w:t>
      </w:r>
      <w:r w:rsidRPr="00897B64">
        <w:rPr>
          <w:rFonts w:ascii="Comic Sans MS" w:eastAsia="Times New Roman" w:hAnsi="Comic Sans MS" w:cs="Arial"/>
          <w:color w:val="000000"/>
          <w:sz w:val="24"/>
          <w:szCs w:val="24"/>
          <w:lang w:eastAsia="es-ES"/>
        </w:rPr>
        <w:t>». Además, la propia orden establece en su anexo IX, para el caso del sector agrícola, las condiciones mínimas de los alojamientos de temporada y campaña.</w:t>
      </w:r>
    </w:p>
    <w:p w14:paraId="7CAF2989"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Por lo expuesto, correspondiendo a la Inspección de Trabajo y Seguridad Social, como servicio público, la vigilancia y exigencia del cumplimiento de la normativa legal y convencional del orden social, y dentro de ella la de seguridad y salud laboral y de conformidad con lo establecido en el </w:t>
      </w:r>
      <w:r w:rsidRPr="00897B64">
        <w:rPr>
          <w:rFonts w:ascii="Comic Sans MS" w:eastAsia="Times New Roman" w:hAnsi="Comic Sans MS" w:cs="Arial"/>
          <w:color w:val="000000"/>
          <w:sz w:val="24"/>
          <w:szCs w:val="24"/>
          <w:u w:val="single"/>
          <w:lang w:eastAsia="es-ES"/>
        </w:rPr>
        <w:t>artículo 9</w:t>
      </w:r>
      <w:r w:rsidRPr="00897B64">
        <w:rPr>
          <w:rFonts w:ascii="Comic Sans MS" w:eastAsia="Times New Roman" w:hAnsi="Comic Sans MS" w:cs="Arial"/>
          <w:color w:val="000000"/>
          <w:sz w:val="24"/>
          <w:szCs w:val="24"/>
          <w:lang w:eastAsia="es-ES"/>
        </w:rPr>
        <w:t> de la Ley 31/1995, de 8-11, de prevención de Riesgos Laborales, así como en los </w:t>
      </w:r>
      <w:r w:rsidRPr="00897B64">
        <w:rPr>
          <w:rFonts w:ascii="Comic Sans MS" w:eastAsia="Times New Roman" w:hAnsi="Comic Sans MS" w:cs="Arial"/>
          <w:color w:val="000000"/>
          <w:sz w:val="24"/>
          <w:szCs w:val="24"/>
          <w:u w:val="single"/>
          <w:lang w:eastAsia="es-ES"/>
        </w:rPr>
        <w:t>artículos 1.2 y 12</w:t>
      </w:r>
      <w:r w:rsidRPr="00897B64">
        <w:rPr>
          <w:rFonts w:ascii="Comic Sans MS" w:eastAsia="Times New Roman" w:hAnsi="Comic Sans MS" w:cs="Arial"/>
          <w:color w:val="000000"/>
          <w:sz w:val="24"/>
          <w:szCs w:val="24"/>
          <w:lang w:eastAsia="es-ES"/>
        </w:rPr>
        <w:t> de la Ley Ordenadora del Sistema de Inspección de Trabajo y Seguridad Social, resulta necesario incluir dentro de su ámbito de actuación locales, viviendas, u otros lugares habilitados, aun cuando no se encuentren en las empresas, centros y lugares de trabajo en que se ejecute la prestación laboral, en los que residan, se alojen o puedan permanecer los trabajadores por razón de su trabajo durante los períodos de descanso, y hayan sido puestos a disposición por el empresario, en cumplimiento de una obligación prevista en una norma legal, convenio colectivo o contrato de trabajo. Por aplicación del </w:t>
      </w:r>
      <w:r w:rsidRPr="00897B64">
        <w:rPr>
          <w:rFonts w:ascii="Comic Sans MS" w:eastAsia="Times New Roman" w:hAnsi="Comic Sans MS" w:cs="Arial"/>
          <w:color w:val="000000"/>
          <w:sz w:val="24"/>
          <w:szCs w:val="24"/>
          <w:u w:val="single"/>
          <w:lang w:eastAsia="es-ES"/>
        </w:rPr>
        <w:t>artículo 18.2</w:t>
      </w:r>
      <w:r w:rsidRPr="00897B64">
        <w:rPr>
          <w:rFonts w:ascii="Comic Sans MS" w:eastAsia="Times New Roman" w:hAnsi="Comic Sans MS" w:cs="Arial"/>
          <w:color w:val="000000"/>
          <w:sz w:val="24"/>
          <w:szCs w:val="24"/>
          <w:lang w:eastAsia="es-ES"/>
        </w:rPr>
        <w:t> de la Constitución Española y del </w:t>
      </w:r>
      <w:r w:rsidRPr="00897B64">
        <w:rPr>
          <w:rFonts w:ascii="Comic Sans MS" w:eastAsia="Times New Roman" w:hAnsi="Comic Sans MS" w:cs="Arial"/>
          <w:color w:val="000000"/>
          <w:sz w:val="24"/>
          <w:szCs w:val="24"/>
          <w:u w:val="single"/>
          <w:lang w:eastAsia="es-ES"/>
        </w:rPr>
        <w:t>artículo 13.1</w:t>
      </w:r>
      <w:r w:rsidRPr="00897B64">
        <w:rPr>
          <w:rFonts w:ascii="Comic Sans MS" w:eastAsia="Times New Roman" w:hAnsi="Comic Sans MS" w:cs="Arial"/>
          <w:color w:val="000000"/>
          <w:sz w:val="24"/>
          <w:szCs w:val="24"/>
          <w:lang w:eastAsia="es-ES"/>
        </w:rPr>
        <w:t> de la Ley 23/2015, de 21-7, también en estos nuevos ámbitos de actuación sujetos a inspección, cuando coincidan con el domicilio de los trabajadores, resultará exigible la obtención del consentimiento expreso de los mismos, o, en su defecto, de la oportuna autorización judicial.</w:t>
      </w:r>
    </w:p>
    <w:p w14:paraId="66D97237"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Artículo primero. </w:t>
      </w:r>
      <w:r w:rsidRPr="00897B64">
        <w:rPr>
          <w:rFonts w:ascii="Comic Sans MS" w:eastAsia="Times New Roman" w:hAnsi="Comic Sans MS" w:cs="Arial"/>
          <w:color w:val="000000"/>
          <w:sz w:val="24"/>
          <w:szCs w:val="24"/>
          <w:u w:val="single"/>
          <w:lang w:eastAsia="es-ES"/>
        </w:rPr>
        <w:t>Modificación de la Ley 12/2013, de 2-8, de medidas para mejorar el funcionamiento de la cadena alimentaria.</w:t>
      </w:r>
    </w:p>
    <w:p w14:paraId="3EFF9527"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Artículo segundo. </w:t>
      </w:r>
      <w:r w:rsidRPr="00897B64">
        <w:rPr>
          <w:rFonts w:ascii="Comic Sans MS" w:eastAsia="Times New Roman" w:hAnsi="Comic Sans MS" w:cs="Arial"/>
          <w:color w:val="000000"/>
          <w:sz w:val="24"/>
          <w:szCs w:val="24"/>
          <w:u w:val="single"/>
          <w:lang w:eastAsia="es-ES"/>
        </w:rPr>
        <w:t>Modificación de la Ley 35/2006, de 28-11, del IRPF.</w:t>
      </w:r>
    </w:p>
    <w:p w14:paraId="6E09C598"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Uno</w:t>
      </w:r>
      <w:r w:rsidRPr="00897B64">
        <w:rPr>
          <w:rFonts w:ascii="Comic Sans MS" w:eastAsia="Times New Roman" w:hAnsi="Comic Sans MS" w:cs="Arial"/>
          <w:color w:val="000000"/>
          <w:sz w:val="24"/>
          <w:szCs w:val="24"/>
          <w:lang w:eastAsia="es-ES"/>
        </w:rPr>
        <w:t>. La </w:t>
      </w:r>
      <w:r w:rsidRPr="00897B64">
        <w:rPr>
          <w:rFonts w:ascii="Comic Sans MS" w:eastAsia="Times New Roman" w:hAnsi="Comic Sans MS" w:cs="Arial"/>
          <w:color w:val="000000"/>
          <w:sz w:val="24"/>
          <w:szCs w:val="24"/>
          <w:u w:val="single"/>
          <w:lang w:eastAsia="es-ES"/>
        </w:rPr>
        <w:t>letra b) del apartado 1 del artículo 14</w:t>
      </w:r>
      <w:r w:rsidRPr="00897B64">
        <w:rPr>
          <w:rFonts w:ascii="Comic Sans MS" w:eastAsia="Times New Roman" w:hAnsi="Comic Sans MS" w:cs="Arial"/>
          <w:color w:val="000000"/>
          <w:sz w:val="24"/>
          <w:szCs w:val="24"/>
          <w:lang w:eastAsia="es-ES"/>
        </w:rPr>
        <w:t> queda redactada de la siguiente forma:</w:t>
      </w:r>
    </w:p>
    <w:p w14:paraId="07EE3C8D" w14:textId="77777777" w:rsidR="000601B9" w:rsidRPr="00897B64" w:rsidRDefault="000601B9" w:rsidP="00897B64">
      <w:pPr>
        <w:spacing w:before="100"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Dos.</w:t>
      </w:r>
      <w:r w:rsidRPr="00897B64">
        <w:rPr>
          <w:rFonts w:ascii="Comic Sans MS" w:eastAsia="Times New Roman" w:hAnsi="Comic Sans MS" w:cs="Arial"/>
          <w:color w:val="000000"/>
          <w:sz w:val="24"/>
          <w:szCs w:val="24"/>
          <w:lang w:eastAsia="es-ES"/>
        </w:rPr>
        <w:t> Se modifica la </w:t>
      </w:r>
      <w:r w:rsidRPr="00897B64">
        <w:rPr>
          <w:rFonts w:ascii="Comic Sans MS" w:eastAsia="Times New Roman" w:hAnsi="Comic Sans MS" w:cs="Arial"/>
          <w:color w:val="000000"/>
          <w:sz w:val="24"/>
          <w:szCs w:val="24"/>
          <w:u w:val="single"/>
          <w:lang w:eastAsia="es-ES"/>
        </w:rPr>
        <w:t>letra c) y se añade una letra l) en el apartado 2 del artículo 14</w:t>
      </w:r>
      <w:r w:rsidRPr="00897B64">
        <w:rPr>
          <w:rFonts w:ascii="Comic Sans MS" w:eastAsia="Times New Roman" w:hAnsi="Comic Sans MS" w:cs="Arial"/>
          <w:color w:val="000000"/>
          <w:sz w:val="24"/>
          <w:szCs w:val="24"/>
          <w:lang w:eastAsia="es-ES"/>
        </w:rPr>
        <w:t>:</w:t>
      </w:r>
    </w:p>
    <w:p w14:paraId="5995A917"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u w:val="single"/>
          <w:lang w:eastAsia="es-ES"/>
        </w:rPr>
        <w:t>Artículo 14. Imputación temporal.</w:t>
      </w:r>
    </w:p>
    <w:p w14:paraId="5D84B637"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1. Regla general.</w:t>
      </w:r>
    </w:p>
    <w:p w14:paraId="474F342C"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Los ingresos y gastos que determinan la renta a incluir en la base del impuesto se imputarán al período impositivo que corresponda, de acuerdo con los siguientes criterios:</w:t>
      </w:r>
    </w:p>
    <w:p w14:paraId="44914DCE"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w:t>
      </w:r>
    </w:p>
    <w:p w14:paraId="1562BF2A"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b) Los rendimientos de actividades económicas se imputarán conforme a lo dispuesto en la normativa reguladora del Impuesto sobre Sociedades, sin perjuicio de las especialidades que reglamentariamente puedan establecerse.</w:t>
      </w:r>
    </w:p>
    <w:p w14:paraId="084C743F"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No obstante, las ayudas públicas para la primera instalación de jóvenes agricultores previstas en el Marco Nacional de Desarrollo Rural de España podrán imputarse por cuartas partes, en el período impositivo en el que se obtengan y en los tres siguientes.</w:t>
      </w:r>
    </w:p>
    <w:p w14:paraId="78143B06"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w:t>
      </w:r>
    </w:p>
    <w:p w14:paraId="3B29407A"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2. Reglas especiales</w:t>
      </w:r>
    </w:p>
    <w:p w14:paraId="389B665B"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c) Las ganancias patrimoniales derivadas de ayudas públicas se imputarán al período impositivo en que tenga lugar su cobro, sin perjuicio de las opciones previstas en las letras g), i), j) y l) de este apartado.</w:t>
      </w:r>
    </w:p>
    <w:p w14:paraId="3CB28953" w14:textId="77777777" w:rsidR="000601B9" w:rsidRPr="00897B64" w:rsidRDefault="000601B9" w:rsidP="00897B64">
      <w:pPr>
        <w:spacing w:after="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l) Las ayudas públicas para la primera instalación de jóvenes agricultores previstas en el Marco Nacional de Desarrollo Rural de España que se destinen a la adquisición de una participación en el capital de empresas agrícolas societarias podrán imputarse por cuartas partes, en el período impositivo en el que se obtengan y en los tres siguientes.</w:t>
      </w:r>
    </w:p>
    <w:p w14:paraId="284B0DF2" w14:textId="77777777" w:rsidR="000601B9" w:rsidRPr="00897B64" w:rsidRDefault="000601B9" w:rsidP="00897B64">
      <w:pPr>
        <w:spacing w:before="100"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Artículo tercero. </w:t>
      </w:r>
      <w:r w:rsidRPr="00897B64">
        <w:rPr>
          <w:rFonts w:ascii="Comic Sans MS" w:eastAsia="Times New Roman" w:hAnsi="Comic Sans MS" w:cs="Arial"/>
          <w:color w:val="000000"/>
          <w:sz w:val="24"/>
          <w:szCs w:val="24"/>
          <w:u w:val="single"/>
          <w:lang w:eastAsia="es-ES"/>
        </w:rPr>
        <w:t>Reducción del número mínimo de jornadas reales cotizadas para acceder al subsidio por desempleo o a la renta agraria a favor de los trabajadores eventuales agrarios residentes en el territorio de las CC.AA. de Andalucía y Extremadura.</w:t>
      </w:r>
    </w:p>
    <w:p w14:paraId="6262B9C1" w14:textId="08BED523" w:rsidR="000601B9" w:rsidRPr="00897B64" w:rsidRDefault="00897B64"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1 Los</w:t>
      </w:r>
      <w:r w:rsidR="000601B9" w:rsidRPr="00897B64">
        <w:rPr>
          <w:rFonts w:ascii="Comic Sans MS" w:eastAsia="Times New Roman" w:hAnsi="Comic Sans MS" w:cs="Arial"/>
          <w:color w:val="000000"/>
          <w:sz w:val="24"/>
          <w:szCs w:val="24"/>
          <w:lang w:eastAsia="es-ES"/>
        </w:rPr>
        <w:t xml:space="preserve"> trabajadores agrarios por cuenta ajena de carácter eventual que, en la fecha de entrada en vigor del Real Decreto-ley 5/2020, de 25-2, por el que se adoptan determinadas medidas urgentes en materia de agricultura y alimentación, estén incluidos en el Sistema Especial para Trabajadores por Cuenta Ajena Agrarios de la Seguridad Social y, en dicha fecha, residan en el territorio de las CC.AA. de Andalucía y Extremadura, podrán ser beneficiarios del subsidio por desempleo que regula el Real Decreto 5/1997, de 10-1, o de la renta agraria, regulada por el Real Decreto 426/2003, de 11-4, aun cuando no tengan cubierto en el citado Sistema de la Seguridad Social el número mínimo de jornadas reales cotizadas establecido en el artículo 2.1.c) o en el artículo 2.1.d) de los citados reales decretos, respectivamente, siempre que tengan cubierto en dicho Sistema Especial un mínimo de 20 jornadas reales cotizadas en los 12 meses naturales inmediatamente anteriores a la situación de desempleo, y reúnan el resto de los requisitos exigidos en el </w:t>
      </w:r>
      <w:hyperlink r:id="rId5" w:anchor="a288" w:history="1">
        <w:r w:rsidR="000601B9" w:rsidRPr="00897B64">
          <w:rPr>
            <w:rFonts w:ascii="Comic Sans MS" w:eastAsia="Times New Roman" w:hAnsi="Comic Sans MS" w:cs="Arial"/>
            <w:b/>
            <w:bCs/>
            <w:color w:val="0000FF"/>
            <w:sz w:val="24"/>
            <w:szCs w:val="24"/>
            <w:u w:val="single"/>
            <w:lang w:eastAsia="es-ES"/>
          </w:rPr>
          <w:t>artículo 288 del texto refundido de la Ley General de la Seguridad Social</w:t>
        </w:r>
      </w:hyperlink>
      <w:r w:rsidR="000601B9" w:rsidRPr="00897B64">
        <w:rPr>
          <w:rFonts w:ascii="Comic Sans MS" w:eastAsia="Times New Roman" w:hAnsi="Comic Sans MS" w:cs="Arial"/>
          <w:color w:val="000000"/>
          <w:sz w:val="24"/>
          <w:szCs w:val="24"/>
          <w:lang w:eastAsia="es-ES"/>
        </w:rPr>
        <w:t> y en los citados reales decretos.</w:t>
      </w:r>
    </w:p>
    <w:p w14:paraId="007D0DD7"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2. Cuando se aplique lo previsto en el apartado 1 de este artículo, se considerará acreditado un número de 35 jornadas reales cotizadas a los efectos de lo establecido en:</w:t>
      </w:r>
    </w:p>
    <w:p w14:paraId="588893B9"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 El </w:t>
      </w:r>
      <w:r w:rsidRPr="00897B64">
        <w:rPr>
          <w:rFonts w:ascii="Comic Sans MS" w:eastAsia="Times New Roman" w:hAnsi="Comic Sans MS" w:cs="Arial"/>
          <w:color w:val="000000"/>
          <w:sz w:val="24"/>
          <w:szCs w:val="24"/>
          <w:u w:val="single"/>
          <w:lang w:eastAsia="es-ES"/>
        </w:rPr>
        <w:t>artículo 5.1.a)</w:t>
      </w:r>
      <w:r w:rsidRPr="00897B64">
        <w:rPr>
          <w:rFonts w:ascii="Comic Sans MS" w:eastAsia="Times New Roman" w:hAnsi="Comic Sans MS" w:cs="Arial"/>
          <w:color w:val="000000"/>
          <w:sz w:val="24"/>
          <w:szCs w:val="24"/>
          <w:lang w:eastAsia="es-ES"/>
        </w:rPr>
        <w:t> del Real Decreto 5/1997, de 10-1.</w:t>
      </w:r>
    </w:p>
    <w:p w14:paraId="0A97F6E7"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b) Los </w:t>
      </w:r>
      <w:r w:rsidRPr="00897B64">
        <w:rPr>
          <w:rFonts w:ascii="Comic Sans MS" w:eastAsia="Times New Roman" w:hAnsi="Comic Sans MS" w:cs="Arial"/>
          <w:color w:val="000000"/>
          <w:sz w:val="24"/>
          <w:szCs w:val="24"/>
          <w:u w:val="single"/>
          <w:lang w:eastAsia="es-ES"/>
        </w:rPr>
        <w:t>artículos 4.1 y 5.1.a)</w:t>
      </w:r>
      <w:r w:rsidRPr="00897B64">
        <w:rPr>
          <w:rFonts w:ascii="Comic Sans MS" w:eastAsia="Times New Roman" w:hAnsi="Comic Sans MS" w:cs="Arial"/>
          <w:color w:val="000000"/>
          <w:sz w:val="24"/>
          <w:szCs w:val="24"/>
          <w:lang w:eastAsia="es-ES"/>
        </w:rPr>
        <w:t> del Real Decreto 426/2003, de 11-4.</w:t>
      </w:r>
    </w:p>
    <w:p w14:paraId="02E7C0EE"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3. En las solicitudes que se presenten a partir de la entrada en vigor del Real Decreto-ley 5/2020, de 25-2, por el que se adoptan determinadas medidas urgentes en materia de agricultura y alimentación, en el ámbito territorial indicado en el apartado 1 de este artículo, se estará a lo siguiente:</w:t>
      </w:r>
    </w:p>
    <w:p w14:paraId="0FE1291B"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 Para aplicar la </w:t>
      </w:r>
      <w:hyperlink r:id="rId6" w:anchor="dtprimera" w:history="1">
        <w:r w:rsidRPr="00897B64">
          <w:rPr>
            <w:rFonts w:ascii="Comic Sans MS" w:eastAsia="Times New Roman" w:hAnsi="Comic Sans MS" w:cs="Arial"/>
            <w:b/>
            <w:bCs/>
            <w:color w:val="0000FF"/>
            <w:sz w:val="24"/>
            <w:szCs w:val="24"/>
            <w:u w:val="single"/>
            <w:lang w:eastAsia="es-ES"/>
          </w:rPr>
          <w:t>disposición transitoria primera del Real Decreto 5/1997, de 10-1</w:t>
        </w:r>
      </w:hyperlink>
      <w:r w:rsidRPr="00897B64">
        <w:rPr>
          <w:rFonts w:ascii="Comic Sans MS" w:eastAsia="Times New Roman" w:hAnsi="Comic Sans MS" w:cs="Arial"/>
          <w:color w:val="000000"/>
          <w:sz w:val="24"/>
          <w:szCs w:val="24"/>
          <w:lang w:eastAsia="es-ES"/>
        </w:rPr>
        <w:t>, se deberá completar un número mínimo de 20 jornadas reales, cotizadas, en la forma prevista en dicha disposición.</w:t>
      </w:r>
    </w:p>
    <w:p w14:paraId="4BF29E97"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b) Para aplicar la </w:t>
      </w:r>
      <w:hyperlink r:id="rId7" w:anchor="dtsegunda" w:history="1">
        <w:r w:rsidRPr="00897B64">
          <w:rPr>
            <w:rFonts w:ascii="Comic Sans MS" w:eastAsia="Times New Roman" w:hAnsi="Comic Sans MS" w:cs="Arial"/>
            <w:b/>
            <w:bCs/>
            <w:color w:val="0000FF"/>
            <w:sz w:val="24"/>
            <w:szCs w:val="24"/>
            <w:u w:val="single"/>
            <w:lang w:eastAsia="es-ES"/>
          </w:rPr>
          <w:t>disposición transitoria segunda del Real Decreto 5/1997, de 10-1</w:t>
        </w:r>
      </w:hyperlink>
      <w:r w:rsidRPr="00897B64">
        <w:rPr>
          <w:rFonts w:ascii="Comic Sans MS" w:eastAsia="Times New Roman" w:hAnsi="Comic Sans MS" w:cs="Arial"/>
          <w:color w:val="000000"/>
          <w:sz w:val="24"/>
          <w:szCs w:val="24"/>
          <w:lang w:eastAsia="es-ES"/>
        </w:rPr>
        <w:t>, cuando se acredite un número igual o superior a 20 jornadas cotizadas, se considerará acreditado un número de 35 jornadas cotizadas.</w:t>
      </w:r>
    </w:p>
    <w:p w14:paraId="35BAF706"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Artículo cuarto. </w:t>
      </w:r>
      <w:r w:rsidRPr="00897B64">
        <w:rPr>
          <w:rFonts w:ascii="Comic Sans MS" w:eastAsia="Times New Roman" w:hAnsi="Comic Sans MS" w:cs="Arial"/>
          <w:color w:val="000000"/>
          <w:sz w:val="24"/>
          <w:szCs w:val="24"/>
          <w:u w:val="single"/>
          <w:lang w:eastAsia="es-ES"/>
        </w:rPr>
        <w:t>Conversión de contratos eventuales de trabajadores agrarios en contratos indefinidos o contratos fijos-discontinuos.</w:t>
      </w:r>
    </w:p>
    <w:p w14:paraId="60A377CC" w14:textId="4495E7C0" w:rsidR="000601B9" w:rsidRPr="00897B64" w:rsidRDefault="00897B64"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1 Las</w:t>
      </w:r>
      <w:r w:rsidR="000601B9" w:rsidRPr="00897B64">
        <w:rPr>
          <w:rFonts w:ascii="Comic Sans MS" w:eastAsia="Times New Roman" w:hAnsi="Comic Sans MS" w:cs="Arial"/>
          <w:color w:val="000000"/>
          <w:sz w:val="24"/>
          <w:szCs w:val="24"/>
          <w:lang w:eastAsia="es-ES"/>
        </w:rPr>
        <w:t xml:space="preserve"> empresas que ocupen a trabajadores encuadrados en el Sistema Especial para Trabajadores por Cuenta Ajena Agrarios establecido en el Régimen General de la Seguridad Social que transformen, antes del 1-1-2021, los contratos de trabajo de duración temporal suscritos con esos trabajadores, cualquiera que sea la fecha de su celebración, en contratos de duración indefinida, incluidos los contratos fijos-discontinuos, tendrán derecho a las siguientes bonificaciones en la cuota empresarial por contingencias comunes a la Seguridad Social, durante los dos años siguientes a la transformación del contrato:</w:t>
      </w:r>
    </w:p>
    <w:p w14:paraId="7A37A60C"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 Si el contrato se refiere a trabajadores encuadrados en el </w:t>
      </w:r>
      <w:r w:rsidRPr="00897B64">
        <w:rPr>
          <w:rFonts w:ascii="Comic Sans MS" w:eastAsia="Times New Roman" w:hAnsi="Comic Sans MS" w:cs="Arial"/>
          <w:color w:val="000000"/>
          <w:sz w:val="24"/>
          <w:szCs w:val="24"/>
          <w:u w:val="single"/>
          <w:lang w:eastAsia="es-ES"/>
        </w:rPr>
        <w:t>grupo 1 de cotización</w:t>
      </w:r>
      <w:r w:rsidRPr="00897B64">
        <w:rPr>
          <w:rFonts w:ascii="Comic Sans MS" w:eastAsia="Times New Roman" w:hAnsi="Comic Sans MS" w:cs="Arial"/>
          <w:color w:val="000000"/>
          <w:sz w:val="24"/>
          <w:szCs w:val="24"/>
          <w:lang w:eastAsia="es-ES"/>
        </w:rPr>
        <w:t>, con cotización por bases mensuales, y que tengan una base de cotización mensual inferior a 1.800 euros, la bonificación será de 40 euros/mes (480 euros/año). En el caso de trabajadoras, dichas bonificaciones serán de 53,33 euros/mes (640 euros/año).</w:t>
      </w:r>
    </w:p>
    <w:p w14:paraId="43EA0B80"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b) Si el contrato se refiere a trabajadores encuadrados en el grupo 1 de cotización, que coticen por jornadas reales trabajadas y cuya base de cotización diaria sea inferior a 81 euros, la bonificación será de 2 euros/día. En el caso de trabajadoras, las bonificaciones serán de 2,66 euros/día.</w:t>
      </w:r>
    </w:p>
    <w:p w14:paraId="04C81222"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c) Si el contrato se refiere a trabajadores encuadrados en alguno de los grupos de cotización entre el 2 y el 11, que tengan una base de cotización mensual inferior a 1.800 euros o una base diaria inferior a 81,82 euros, la bonificación se corresponderá con la cuantía necesaria para que la cuota resultante por contingencias comunes no supere 4,63 euros/mes, o 4,30 euros por jornada real trabajada. En el caso de trabajadoras, la bonificación se corresponderá con la cuantía necesaria para que la cuota resultante por contingencias comunes no supere 63,09 euros/mes, o 2,87 euros por jornada real trabajada.</w:t>
      </w:r>
    </w:p>
    <w:p w14:paraId="0A6C53A8"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2. Las bonificaciones previstas en el apartado 1 no serán de aplicación durante las situaciones de incapacidad temporal, riesgo durante el embarazo y riesgo durante la lactancia natural, así como de nacimiento y cuidado del menor causadas durante la situación de actividad a que se refiere el </w:t>
      </w:r>
      <w:r w:rsidRPr="00897B64">
        <w:rPr>
          <w:rFonts w:ascii="Comic Sans MS" w:eastAsia="Times New Roman" w:hAnsi="Comic Sans MS" w:cs="Arial"/>
          <w:color w:val="000000"/>
          <w:sz w:val="24"/>
          <w:szCs w:val="24"/>
          <w:u w:val="single"/>
          <w:lang w:eastAsia="es-ES"/>
        </w:rPr>
        <w:t>artículo 5.7</w:t>
      </w:r>
      <w:r w:rsidRPr="00897B64">
        <w:rPr>
          <w:rFonts w:ascii="Comic Sans MS" w:eastAsia="Times New Roman" w:hAnsi="Comic Sans MS" w:cs="Arial"/>
          <w:color w:val="000000"/>
          <w:sz w:val="24"/>
          <w:szCs w:val="24"/>
          <w:lang w:eastAsia="es-ES"/>
        </w:rPr>
        <w:t> del Real Decreto-ley 28/2018, de 28-12, en la redacción dada por el </w:t>
      </w:r>
      <w:r w:rsidRPr="00897B64">
        <w:rPr>
          <w:rFonts w:ascii="Comic Sans MS" w:eastAsia="Times New Roman" w:hAnsi="Comic Sans MS" w:cs="Arial"/>
          <w:color w:val="000000"/>
          <w:sz w:val="24"/>
          <w:szCs w:val="24"/>
          <w:u w:val="single"/>
          <w:lang w:eastAsia="es-ES"/>
        </w:rPr>
        <w:t>artículo 5</w:t>
      </w:r>
      <w:r w:rsidRPr="00897B64">
        <w:rPr>
          <w:rFonts w:ascii="Comic Sans MS" w:eastAsia="Times New Roman" w:hAnsi="Comic Sans MS" w:cs="Arial"/>
          <w:color w:val="000000"/>
          <w:sz w:val="24"/>
          <w:szCs w:val="24"/>
          <w:lang w:eastAsia="es-ES"/>
        </w:rPr>
        <w:t> del Real Decreto-ley 8/2019, de 8-3, de medidas urgentes de protección social y de lucha contra la precariedad laboral en la jornada de trabajo.</w:t>
      </w:r>
    </w:p>
    <w:p w14:paraId="78D21B6F"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3. Para la aplicación de este incentivo la empresa deberá mantener en el empleo al trabajador contratado al menos tres años desde la fecha de transformación del contrato. En caso de incumplimiento de esta obligación se deberá proceder al reintegro del incentivo.</w:t>
      </w:r>
    </w:p>
    <w:p w14:paraId="2F737580"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No se considerará incumplida la obligación de mantenimiento del empleo anterior cuando el contrato de trabajo se extinga por causas objetivas o por despido disciplinario cuando uno u otro sea declarado o reconocido como procedente, ni las extinciones causadas por dimisión, muerte, jubilación o incapacidad permanente total, absoluta o gran invalidez de los trabajadores.</w:t>
      </w:r>
    </w:p>
    <w:p w14:paraId="7B6F72DB"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4. En lo no establecido en esta disposición serán de aplicación las previsiones contenidas en la </w:t>
      </w:r>
      <w:hyperlink r:id="rId8" w:anchor="s1" w:history="1">
        <w:r w:rsidRPr="00897B64">
          <w:rPr>
            <w:rFonts w:ascii="Comic Sans MS" w:eastAsia="Times New Roman" w:hAnsi="Comic Sans MS" w:cs="Arial"/>
            <w:b/>
            <w:bCs/>
            <w:color w:val="0000FF"/>
            <w:sz w:val="24"/>
            <w:szCs w:val="24"/>
            <w:u w:val="single"/>
            <w:lang w:eastAsia="es-ES"/>
          </w:rPr>
          <w:t>sección I del capítulo I de la Ley 43/2006, de 29-12</w:t>
        </w:r>
      </w:hyperlink>
      <w:r w:rsidRPr="00897B64">
        <w:rPr>
          <w:rFonts w:ascii="Comic Sans MS" w:eastAsia="Times New Roman" w:hAnsi="Comic Sans MS" w:cs="Arial"/>
          <w:color w:val="000000"/>
          <w:sz w:val="24"/>
          <w:szCs w:val="24"/>
          <w:lang w:eastAsia="es-ES"/>
        </w:rPr>
        <w:t>, para la mejora del crecimiento y del empleo, salvo lo establecido en su artículo 2.7.</w:t>
      </w:r>
    </w:p>
    <w:p w14:paraId="7D964712"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Artículo quinto. </w:t>
      </w:r>
      <w:r w:rsidRPr="00897B64">
        <w:rPr>
          <w:rFonts w:ascii="Comic Sans MS" w:eastAsia="Times New Roman" w:hAnsi="Comic Sans MS" w:cs="Arial"/>
          <w:color w:val="000000"/>
          <w:sz w:val="24"/>
          <w:szCs w:val="24"/>
          <w:u w:val="single"/>
          <w:lang w:eastAsia="es-ES"/>
        </w:rPr>
        <w:t>Modificación de la Ley 23/2015, de 21-7, Ordenadora del Sistema de Inspección de Trabajo y Seguridad Social.</w:t>
      </w:r>
    </w:p>
    <w:p w14:paraId="09318623"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La </w:t>
      </w:r>
      <w:r w:rsidRPr="00897B64">
        <w:rPr>
          <w:rFonts w:ascii="Comic Sans MS" w:eastAsia="Times New Roman" w:hAnsi="Comic Sans MS" w:cs="Arial"/>
          <w:color w:val="000000"/>
          <w:sz w:val="24"/>
          <w:szCs w:val="24"/>
          <w:u w:val="single"/>
          <w:lang w:eastAsia="es-ES"/>
        </w:rPr>
        <w:t>letra a) del apartado 1 del artículo 19</w:t>
      </w:r>
      <w:r w:rsidRPr="00897B64">
        <w:rPr>
          <w:rFonts w:ascii="Comic Sans MS" w:eastAsia="Times New Roman" w:hAnsi="Comic Sans MS" w:cs="Arial"/>
          <w:color w:val="000000"/>
          <w:sz w:val="24"/>
          <w:szCs w:val="24"/>
          <w:lang w:eastAsia="es-ES"/>
        </w:rPr>
        <w:t> quedará redactada de la siguiente manera:</w:t>
      </w:r>
    </w:p>
    <w:p w14:paraId="4BF3A549"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u w:val="single"/>
          <w:lang w:eastAsia="es-ES"/>
        </w:rPr>
        <w:t>Artículo 19. Ámbito de actuación de la Inspección de Trabajo y Seguridad Social.</w:t>
      </w:r>
    </w:p>
    <w:p w14:paraId="5D18C0AD" w14:textId="77777777" w:rsidR="000601B9" w:rsidRPr="00897B64" w:rsidRDefault="000601B9" w:rsidP="00897B64">
      <w:pPr>
        <w:spacing w:after="4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1. La actuación de la Inspección de Trabajo y Seguridad Social se extiende a las personas físicas y jurídicas, públicas o privadas, a las comunidades de bienes u otras entidades sin personalidad jurídica, en cuanto sujetos obligados o responsables que sean del cumplimiento de las normas del orden social, y se ejerce en:</w:t>
      </w:r>
    </w:p>
    <w:p w14:paraId="19A4A0EA" w14:textId="77777777" w:rsidR="000601B9" w:rsidRPr="00897B64" w:rsidRDefault="000601B9" w:rsidP="00897B64">
      <w:pPr>
        <w:spacing w:after="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i/>
          <w:iCs/>
          <w:color w:val="000000"/>
          <w:sz w:val="24"/>
          <w:szCs w:val="24"/>
          <w:lang w:eastAsia="es-ES"/>
        </w:rPr>
        <w:t>a) Las empresas, los centros de trabajo y, en general, los lugares de trabajo en que se ejecute la prestación laboral, aun cuando estén directamente regidos o gestionados por las Administraciones Públicas o por entidades de Derecho público con personalidad jurídica propia vinculadas o dependientes de cualesquiera de ellas, con sujeción, en este último caso, a lo previsto en la normativa que regula dicha actuación en las Administraciones Públicas. La actuación de la Inspección de Trabajo se podrá ejercer también en locales, viviendas, u otros lugares habilitados, aun cuando no se encuentren en las empresas, centros y lugares de trabajo en que se ejecute la prestación laboral, en los que residan, se alojen o puedan permanecer los trabajadores por razón de su trabajo durante los períodos de descanso, y hayan sido puestos a disposición de los mismos por el empresario, en cumplimiento de una obligación prevista en una norma legal, convenio colectivo o contrato de trabajo.</w:t>
      </w:r>
    </w:p>
    <w:p w14:paraId="5BBDF258" w14:textId="77777777" w:rsidR="000601B9" w:rsidRPr="00897B64" w:rsidRDefault="000601B9" w:rsidP="00897B64">
      <w:pPr>
        <w:spacing w:before="100"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Disposición adicional única. </w:t>
      </w:r>
      <w:r w:rsidRPr="00897B64">
        <w:rPr>
          <w:rFonts w:ascii="Comic Sans MS" w:eastAsia="Times New Roman" w:hAnsi="Comic Sans MS" w:cs="Arial"/>
          <w:color w:val="000000"/>
          <w:sz w:val="24"/>
          <w:szCs w:val="24"/>
          <w:u w:val="single"/>
          <w:lang w:eastAsia="es-ES"/>
        </w:rPr>
        <w:t>Informe del Ministerio de Agricultura, Pesca y Alimentación.</w:t>
      </w:r>
    </w:p>
    <w:p w14:paraId="210702CC" w14:textId="45E8970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Al año de su entrada en vigor, el Ministerio de Agricultura, Pesca y Alimentación presentará un informe a la Comisión Delegada del Gobierno para Asuntos Económicos en el que se analizarán los resultados de la aplicación de las medidas recogidas en el Real Decreto-ley 5/2020, de 25-2, por el que se adoptan determinadas medidas urgentes en materia de agricultura y alimentación. En particular, este informe detallará el impacto de dichas medidas sobre el sector agroalimentario español y sobre los consumidores atendiendo a la evolución que se haya producido del sistema de fijación de precios y de los precios finales de los productos agroalimentarios.</w:t>
      </w:r>
    </w:p>
    <w:p w14:paraId="25030402"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Disposición transitoria única</w:t>
      </w:r>
      <w:r w:rsidRPr="00897B64">
        <w:rPr>
          <w:rFonts w:ascii="Comic Sans MS" w:eastAsia="Times New Roman" w:hAnsi="Comic Sans MS" w:cs="Arial"/>
          <w:color w:val="000000"/>
          <w:sz w:val="24"/>
          <w:szCs w:val="24"/>
          <w:u w:val="single"/>
          <w:lang w:eastAsia="es-ES"/>
        </w:rPr>
        <w:t>. Contratos preexistentes.</w:t>
      </w:r>
    </w:p>
    <w:p w14:paraId="7FBD8788"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Los contratos alimentarios en vigor, incluidas sus prórrogas y novaciones, en el momento de entrada en vigor del Real Decreto-ley 5/2020, de 25-2, por el que se adoptan determinadas medidas urgentes en materia de agricultura y alimentación mantendrán su validez, si bien tendrán que adaptarse en aquello en que no se ajusten a lo dispuesto en esta norma en el plazo de seis meses desde su entrada en vigor.</w:t>
      </w:r>
    </w:p>
    <w:p w14:paraId="25055F33"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Disposición derogatoria única.</w:t>
      </w:r>
    </w:p>
    <w:p w14:paraId="5A21E57E"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Queda derogado el Real Decreto-ley 5/2020, de 25-2, por el que se adoptan determinadas medidas urgentes en materia de agricultura y alimentación.</w:t>
      </w:r>
    </w:p>
    <w:p w14:paraId="616DF4EE"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Disposición final primera. </w:t>
      </w:r>
      <w:r w:rsidRPr="00897B64">
        <w:rPr>
          <w:rFonts w:ascii="Comic Sans MS" w:eastAsia="Times New Roman" w:hAnsi="Comic Sans MS" w:cs="Arial"/>
          <w:color w:val="000000"/>
          <w:sz w:val="24"/>
          <w:szCs w:val="24"/>
          <w:u w:val="single"/>
          <w:lang w:eastAsia="es-ES"/>
        </w:rPr>
        <w:t>Títulos competenciales.</w:t>
      </w:r>
    </w:p>
    <w:p w14:paraId="525A265A"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b/>
          <w:bCs/>
          <w:color w:val="000000"/>
          <w:sz w:val="24"/>
          <w:szCs w:val="24"/>
          <w:u w:val="single"/>
          <w:lang w:eastAsia="es-ES"/>
        </w:rPr>
        <w:t>Disposición final segunda. </w:t>
      </w:r>
      <w:r w:rsidRPr="00897B64">
        <w:rPr>
          <w:rFonts w:ascii="Comic Sans MS" w:eastAsia="Times New Roman" w:hAnsi="Comic Sans MS" w:cs="Arial"/>
          <w:color w:val="000000"/>
          <w:sz w:val="24"/>
          <w:szCs w:val="24"/>
          <w:u w:val="single"/>
          <w:lang w:eastAsia="es-ES"/>
        </w:rPr>
        <w:t>Entrada en vigor y efectos.</w:t>
      </w:r>
    </w:p>
    <w:p w14:paraId="677E2701" w14:textId="6B8BC07D"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La presente Ley entrará en vigor el</w:t>
      </w:r>
      <w:r w:rsidR="00897B64">
        <w:rPr>
          <w:rFonts w:ascii="Comic Sans MS" w:eastAsia="Times New Roman" w:hAnsi="Comic Sans MS" w:cs="Arial"/>
          <w:color w:val="000000"/>
          <w:sz w:val="24"/>
          <w:szCs w:val="24"/>
          <w:lang w:eastAsia="es-ES"/>
        </w:rPr>
        <w:t xml:space="preserve"> </w:t>
      </w:r>
      <w:r w:rsidRPr="00897B64">
        <w:rPr>
          <w:rFonts w:ascii="Comic Sans MS" w:eastAsia="Times New Roman" w:hAnsi="Comic Sans MS" w:cs="Arial"/>
          <w:color w:val="000000"/>
          <w:sz w:val="24"/>
          <w:szCs w:val="24"/>
          <w:lang w:eastAsia="es-ES"/>
        </w:rPr>
        <w:t>18-12, día siguiente al de su publicación en el BOE.</w:t>
      </w:r>
    </w:p>
    <w:p w14:paraId="6DAB492C"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El </w:t>
      </w:r>
      <w:r w:rsidRPr="00897B64">
        <w:rPr>
          <w:rFonts w:ascii="Comic Sans MS" w:eastAsia="Times New Roman" w:hAnsi="Comic Sans MS" w:cs="Arial"/>
          <w:color w:val="000000"/>
          <w:sz w:val="24"/>
          <w:szCs w:val="24"/>
          <w:u w:val="single"/>
          <w:lang w:eastAsia="es-ES"/>
        </w:rPr>
        <w:t>artículo segundo</w:t>
      </w:r>
      <w:r w:rsidRPr="00897B64">
        <w:rPr>
          <w:rFonts w:ascii="Comic Sans MS" w:eastAsia="Times New Roman" w:hAnsi="Comic Sans MS" w:cs="Arial"/>
          <w:color w:val="000000"/>
          <w:sz w:val="24"/>
          <w:szCs w:val="24"/>
          <w:lang w:eastAsia="es-ES"/>
        </w:rPr>
        <w:t> surtirá efectos desde el 1-1-2020.</w:t>
      </w:r>
    </w:p>
    <w:p w14:paraId="5F2307D5" w14:textId="77777777" w:rsidR="000601B9" w:rsidRPr="00897B64" w:rsidRDefault="000601B9" w:rsidP="00897B64">
      <w:pPr>
        <w:spacing w:after="100" w:line="240" w:lineRule="auto"/>
        <w:jc w:val="both"/>
        <w:rPr>
          <w:rFonts w:ascii="Comic Sans MS" w:eastAsia="Times New Roman" w:hAnsi="Comic Sans MS" w:cs="Arial"/>
          <w:color w:val="000000"/>
          <w:sz w:val="24"/>
          <w:szCs w:val="24"/>
          <w:lang w:eastAsia="es-ES"/>
        </w:rPr>
      </w:pPr>
      <w:r w:rsidRPr="00897B64">
        <w:rPr>
          <w:rFonts w:ascii="Comic Sans MS" w:eastAsia="Times New Roman" w:hAnsi="Comic Sans MS" w:cs="Arial"/>
          <w:color w:val="000000"/>
          <w:sz w:val="24"/>
          <w:szCs w:val="24"/>
          <w:lang w:eastAsia="es-ES"/>
        </w:rPr>
        <w:t>Lo dispuesto en el </w:t>
      </w:r>
      <w:r w:rsidRPr="00897B64">
        <w:rPr>
          <w:rFonts w:ascii="Comic Sans MS" w:eastAsia="Times New Roman" w:hAnsi="Comic Sans MS" w:cs="Arial"/>
          <w:color w:val="000000"/>
          <w:sz w:val="24"/>
          <w:szCs w:val="24"/>
          <w:u w:val="single"/>
          <w:lang w:eastAsia="es-ES"/>
        </w:rPr>
        <w:t>artículo tercero</w:t>
      </w:r>
      <w:r w:rsidRPr="00897B64">
        <w:rPr>
          <w:rFonts w:ascii="Comic Sans MS" w:eastAsia="Times New Roman" w:hAnsi="Comic Sans MS" w:cs="Arial"/>
          <w:color w:val="000000"/>
          <w:sz w:val="24"/>
          <w:szCs w:val="24"/>
          <w:lang w:eastAsia="es-ES"/>
        </w:rPr>
        <w:t> será de aplicación a las solicitudes presentadas a partir de la fecha de entrada en vigor del Real Decreto-ley 5/2020, de 25-2, por el que se adoptan determinadas medidas urgentes en materia de agricultura y alimentación y hasta el 31-12-2020, inclusive.</w:t>
      </w:r>
    </w:p>
    <w:p w14:paraId="21608513" w14:textId="77777777" w:rsidR="000601B9" w:rsidRPr="00897B64" w:rsidRDefault="000601B9" w:rsidP="00897B64">
      <w:pPr>
        <w:jc w:val="both"/>
        <w:rPr>
          <w:rFonts w:ascii="Comic Sans MS" w:hAnsi="Comic Sans MS"/>
          <w:sz w:val="24"/>
          <w:szCs w:val="24"/>
        </w:rPr>
      </w:pPr>
    </w:p>
    <w:sectPr w:rsidR="000601B9" w:rsidRPr="00897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B9"/>
    <w:rsid w:val="000601B9"/>
    <w:rsid w:val="0053101F"/>
    <w:rsid w:val="00897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E322"/>
  <w15:chartTrackingRefBased/>
  <w15:docId w15:val="{2AA24BB7-801D-4A07-A1EC-665499A9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85693">
      <w:bodyDiv w:val="1"/>
      <w:marLeft w:val="0"/>
      <w:marRight w:val="0"/>
      <w:marTop w:val="0"/>
      <w:marBottom w:val="0"/>
      <w:divBdr>
        <w:top w:val="none" w:sz="0" w:space="0" w:color="auto"/>
        <w:left w:val="none" w:sz="0" w:space="0" w:color="auto"/>
        <w:bottom w:val="none" w:sz="0" w:space="0" w:color="auto"/>
        <w:right w:val="none" w:sz="0" w:space="0" w:color="auto"/>
      </w:divBdr>
      <w:divsChild>
        <w:div w:id="1136333907">
          <w:marLeft w:val="0"/>
          <w:marRight w:val="0"/>
          <w:marTop w:val="0"/>
          <w:marBottom w:val="0"/>
          <w:divBdr>
            <w:top w:val="dashed" w:sz="8" w:space="1" w:color="auto"/>
            <w:left w:val="dashed" w:sz="8" w:space="4" w:color="auto"/>
            <w:bottom w:val="dashed" w:sz="8" w:space="1" w:color="auto"/>
            <w:right w:val="dashed" w:sz="8" w:space="4" w:color="auto"/>
          </w:divBdr>
        </w:div>
        <w:div w:id="1129282224">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06-22949" TargetMode="External"/><Relationship Id="rId3" Type="http://schemas.openxmlformats.org/officeDocument/2006/relationships/webSettings" Target="webSettings.xml"/><Relationship Id="rId7" Type="http://schemas.openxmlformats.org/officeDocument/2006/relationships/hyperlink" Target="https://www.boe.es/buscar/act.php?id=BOE-A-1997-5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1997-582" TargetMode="External"/><Relationship Id="rId5" Type="http://schemas.openxmlformats.org/officeDocument/2006/relationships/hyperlink" Target="https://www.boe.es/buscar/act.php?id=BOE-A-2015-11724" TargetMode="External"/><Relationship Id="rId10" Type="http://schemas.openxmlformats.org/officeDocument/2006/relationships/theme" Target="theme/theme1.xml"/><Relationship Id="rId4" Type="http://schemas.openxmlformats.org/officeDocument/2006/relationships/hyperlink" Target="https://www.boe.es/buscar/act.php?id=BOE-A-2020-2669"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4805</Words>
  <Characters>26432</Characters>
  <Application>Microsoft Office Word</Application>
  <DocSecurity>0</DocSecurity>
  <Lines>220</Lines>
  <Paragraphs>62</Paragraphs>
  <ScaleCrop>false</ScaleCrop>
  <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6</cp:revision>
  <dcterms:created xsi:type="dcterms:W3CDTF">2020-12-22T09:41:00Z</dcterms:created>
  <dcterms:modified xsi:type="dcterms:W3CDTF">2020-12-23T17:49:00Z</dcterms:modified>
</cp:coreProperties>
</file>