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764" w:rsidRPr="00390764" w:rsidRDefault="00390764" w:rsidP="00390764">
      <w:pPr>
        <w:spacing w:after="100" w:line="240" w:lineRule="auto"/>
        <w:jc w:val="center"/>
        <w:rPr>
          <w:rFonts w:ascii="Arial" w:eastAsia="Times New Roman" w:hAnsi="Arial" w:cs="Arial"/>
          <w:b/>
          <w:bCs/>
          <w:color w:val="FF0000"/>
          <w:sz w:val="40"/>
          <w:szCs w:val="40"/>
          <w:lang w:eastAsia="es-ES"/>
        </w:rPr>
      </w:pPr>
      <w:r w:rsidRPr="00390764">
        <w:rPr>
          <w:rFonts w:ascii="Arial" w:eastAsia="Times New Roman" w:hAnsi="Arial" w:cs="Arial"/>
          <w:b/>
          <w:bCs/>
          <w:color w:val="FF0000"/>
          <w:sz w:val="40"/>
          <w:szCs w:val="40"/>
          <w:lang w:eastAsia="es-ES"/>
        </w:rPr>
        <w:t>REAL DECRETO-LEY 15/2020, DE 21-4, DE MEDIDAS URGENTES COMPLEMENTARIAS PARA APOYAR LA ECONOMÍA Y EL EMPLEO (BOE 22-4)</w:t>
      </w:r>
    </w:p>
    <w:p w:rsidR="00390764" w:rsidRPr="00390764" w:rsidRDefault="00390764" w:rsidP="00390764">
      <w:pPr>
        <w:spacing w:after="100" w:line="240" w:lineRule="auto"/>
        <w:jc w:val="center"/>
        <w:rPr>
          <w:rFonts w:ascii="Arial" w:eastAsia="Times New Roman" w:hAnsi="Arial" w:cs="Arial"/>
          <w:color w:val="000000"/>
          <w:sz w:val="20"/>
          <w:szCs w:val="20"/>
          <w:lang w:eastAsia="es-ES"/>
        </w:rPr>
      </w:pP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b/>
          <w:bCs/>
          <w:color w:val="000000"/>
          <w:sz w:val="28"/>
          <w:szCs w:val="28"/>
          <w:lang w:eastAsia="es-ES"/>
        </w:rPr>
        <w:t>PREÁMBULO</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b/>
          <w:bCs/>
          <w:color w:val="000000"/>
          <w:sz w:val="28"/>
          <w:szCs w:val="28"/>
          <w:lang w:eastAsia="es-ES"/>
        </w:rPr>
        <w:t>I</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Con el fin de responder a las necesidades de apoyo reforzado derivadas de la prolongación de esta situación excepcional, de seguir protegiendo y dando soporte al tejido productivo y social, de minimizar el impacto y de facilitar que la actividad económica se recupere en cuanto empiece a remitir esta situación de emergencia de salud pública, se aprueba un nuevo paquete de medidas que refuerza, complementa y amplía las anteriormente adoptadas y se centra en el apoyo a las empresas y a los trabajadores.</w:t>
      </w:r>
    </w:p>
    <w:p w:rsidR="00390764" w:rsidRPr="00390764" w:rsidRDefault="00390764" w:rsidP="00390764">
      <w:pPr>
        <w:spacing w:after="4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Este real decreto-ley se estructura en:</w:t>
      </w:r>
    </w:p>
    <w:p w:rsidR="00390764" w:rsidRPr="00390764" w:rsidRDefault="00390764" w:rsidP="00390764">
      <w:pPr>
        <w:spacing w:after="4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 un preámbulo</w:t>
      </w:r>
    </w:p>
    <w:p w:rsidR="00390764" w:rsidRPr="00390764" w:rsidRDefault="00390764" w:rsidP="00390764">
      <w:pPr>
        <w:spacing w:after="4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- 5 capítulos</w:t>
      </w:r>
    </w:p>
    <w:p w:rsidR="00390764" w:rsidRPr="00390764" w:rsidRDefault="00390764" w:rsidP="00390764">
      <w:pPr>
        <w:spacing w:after="4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- 26 artículos</w:t>
      </w:r>
    </w:p>
    <w:p w:rsidR="00390764" w:rsidRPr="00390764" w:rsidRDefault="00390764" w:rsidP="00390764">
      <w:pPr>
        <w:spacing w:after="4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- 15 disposiciones adicionales</w:t>
      </w:r>
    </w:p>
    <w:p w:rsidR="00390764" w:rsidRPr="00390764" w:rsidRDefault="00390764" w:rsidP="00390764">
      <w:pPr>
        <w:spacing w:after="4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- 5 disposiciones transitorias</w:t>
      </w:r>
    </w:p>
    <w:p w:rsidR="00390764" w:rsidRPr="00390764" w:rsidRDefault="00390764" w:rsidP="00390764">
      <w:pPr>
        <w:spacing w:after="4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- 13 disposiciones finales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 un Anexo.</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b/>
          <w:bCs/>
          <w:color w:val="000000"/>
          <w:sz w:val="28"/>
          <w:szCs w:val="28"/>
          <w:lang w:eastAsia="es-ES"/>
        </w:rPr>
        <w:t>II - MEDIDAS PARA REDUCIR LOS COSTES OPERATIVOS DE PYMES Y AUTÓNOMOS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Como consecuencia de las medidas excepcionales adoptadas por el Real Decreto 463/2020, de 14-3, por el que se declara el estado de alarma para la gestión de la situación de crisis sanitaria ocasionada por el COVID-19, muchas actividades económicas se han visto obligadas a suspender su actividad o a reducir drásticamente la misma.</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En virtud de lo anterior, la falta de ingresos o la minoración de los mismos durante el periodo que dure el estado de alarma puede dar lugar a la incapacidad financiera de autónomos y pymes para hacer frente al cumplimiento, total o parcial, de sus obligaciones de pago de renta de locales en alquiler que pone en serio riesgo la continuidad de sus actividades.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Ante esta situación, procede prever una regulación específica de elaboración jurisprudencial, que permite la modulación o modificación de las obligaciones contractuales si concurren los requisitos exigidos: imprevisibilidad e inevitabilidad del riesgo derivado, excesiva onerosidad de la prestación debida y buena fe contractual.</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Se considera conveniente ofrecer una respuesta que permita abordar esta situación y regular un procedimiento para que las partes puedan llegar a un acuerdo para la modulación del pago de las rentas de los alquileres de locales.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b/>
          <w:bCs/>
          <w:color w:val="000000"/>
          <w:sz w:val="28"/>
          <w:szCs w:val="28"/>
          <w:lang w:eastAsia="es-ES"/>
        </w:rPr>
        <w:t>III - MEDIDAS PARA REFORZAR LA FINANCIACIÓN EMPRESARIAL</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El </w:t>
      </w:r>
      <w:r w:rsidRPr="00390764">
        <w:rPr>
          <w:rFonts w:ascii="Comic Sans MS" w:eastAsia="Times New Roman" w:hAnsi="Comic Sans MS" w:cs="Arial"/>
          <w:b/>
          <w:bCs/>
          <w:color w:val="000000"/>
          <w:sz w:val="28"/>
          <w:szCs w:val="28"/>
          <w:lang w:eastAsia="es-ES"/>
        </w:rPr>
        <w:t>capítulo 2</w:t>
      </w:r>
      <w:r w:rsidRPr="00390764">
        <w:rPr>
          <w:rFonts w:ascii="Comic Sans MS" w:eastAsia="Times New Roman" w:hAnsi="Comic Sans MS" w:cs="Arial"/>
          <w:color w:val="000000"/>
          <w:sz w:val="28"/>
          <w:szCs w:val="28"/>
          <w:lang w:eastAsia="es-ES"/>
        </w:rPr>
        <w:t> regula un amplio paquete de medidas para reforzar la financiación de las empresas.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En primer lugar, para facilitar que las empresas que se han visto afectadas por la crisis sanitaria actual puedan hacer frente de la mejor forma posible a los pagos derivados de créditos que desde distintos instrumentos de la administración se habían otorgado, en este real decreto-ley se habilita al Instituto para la Diversificación y Ahorro de la Energía (IDAE), organismo público adscrito a la Secretaría de Estado de Energía, a conceder aplazamientos de las cuotas de los préstamos concedidos en el marco de sus programas de subvenciones o ayudas reembolsables, extendiendo así a los créditos del IDAE la posibilidad de aplazamiento de cuotas ya aprobada en reales decreto-leyes anteriores para los créditos de la Secretaría General de Industria, el programa REINDUs, entre otros.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Además de tomar medidas para reforzar el acceso a la liquidez o facilitar el pago de los créditos, es necesario garantizar la continuidad del desarrollo de las transacciones económicas y aportar seguridad a las operaciones comerciales en un contexto de incertidumbre como el actual.</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A este respecto, el sector asegurador desempeña un papel destacado. El seguro de crédito y de caución contribuyen a la consecución de dichos objetivos, ya que sirven, respectivamente, de garantía del cobro de las ventas o prestaciones de servicios y del cumplimiento de las obligaciones legales o contractuales.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En un contexto como el actual, es necesario reforzar los mecanismos que contribuyan a que el sector asegurador desempeñe dicho papel. Por ello, dada la situación adversa del mercado de crédito y las dificultades que, como consecuencia de la reducción de la cobertura de riesgos asegurados, puedan afectar a las relaciones comerciales y los pagos entre las empresas, se habilita al Consorcio de Compensación de Seguros para que desarrolle actividades de reaseguro de crédito y de caución a partir de 2020.</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El Real Decreto-ley 8/2020, de 17-3, de medidas urgentes extraordinarias para hacer frente al impacto económico y social del COVID-19, aprobó una línea de avales otorgada por el Ministerio de Asuntos Económicos y Transformación Digital para cubrir la financiación otorgada por entidades de crédito, establecimientos financieros de crédito, entidades de dinero electrónico y entidades de pagos a empresas y autónomos. El objetivo fundamental de esta línea de avales, dotada con un importe máximo de 100.000 millones de euros, es preservar la normalidad de los flujos de financiación y de los niveles de circulante y liquidez, en particular de pymes y los autónomos. En concreto, la línea de avales debe permitir que las empresas y autónomos continúen abonando los salarios de sus empleados, puedan adelantar el cobro de sus facturas, a través de figuras como el factoring, o anticipar el pago de facturas a sus proveedores, a través de modalidades como el confirming, estableciendo de esta forma medios para el mantenimiento de los niveles de actividad económica y de empleo. Las entidades que otorguen la financiación deben velar por el cumplimiento de estos objetivos, con el fin de que la liquidez siga llegando al conjunto del tejido productivo, en particular a través de los canales de crédito comercial y pago a proveedores.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El citado real decreto-ley establece que las condiciones aplicables y requisitos a cumplir, incluyendo el plazo máximo para la solicitud del aval, se establecerán por Acuerdo de Consejo de Ministros. Los pasados 24 de marzo y 10 de abril, el Consejo de Ministros adoptó sendos Acuerdos liberando un total de 40.000 millones de euros de avales a conceder a empresas y autónomos. El 75 % de los avales puestos a disposición se concentran en pymes y autónomos, como agentes claves que son de la actividad económica, cuyo acceso a la liquidez es fundamental para el buen funcionamiento del tejido productivo.</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Para reforzar las medidas de apoyo a la liquidez y ampliar su alcance, este real decreto-ley, en una disposición final, toma tres medidas complementarias.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En primer lugar, prevé un reforzamiento del reaval concedido por la Compañía Española de Reafianzamiento, Sociedad Anónima (CERSA), con el fin de aumentar la capacidad de aval de las Sociedades de Garantía Recíproca, presentes en todas las Comunidades Autónomas de España y con gran capilaridad como reforzadoras del acceso a la financiación de las pymes de las distintas áreas geográficas en que se encuentran presentes.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Además, establece que podrán beneficiarse de los avales los pagarés incorporados al Mercado de Renta Fija de la Asociación de Intermediarios de Activos Financieros (AIAF) y al Mercado Alternativo de Renta Fija (MARF), fomentando el mantenimiento de las fuentes de liquidez proporcionadas por los mercados de capitales y no sólo a través de los canales bancarios tradicionales. En ambos casos, las condiciones de los avales se establecerán por Acuerdo de Consejo de Ministros.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Por último, se garantiza que la línea de avales por importe de hasta 100.000 millones de euros podrá liberarse hasta el 31 de diciembre de 2020.</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b/>
          <w:bCs/>
          <w:color w:val="000000"/>
          <w:sz w:val="28"/>
          <w:szCs w:val="28"/>
          <w:lang w:eastAsia="es-ES"/>
        </w:rPr>
        <w:t>IV - MEDIDAS FISCALES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Para permitir que el suministro de material sanitario se realice de forma rápida y efectiva, se establece hasta el 31-7-2020 un tipo impositivo del IVA del cero por ciento aplicable a las entregas interiores, importaciones y adquisiciones intracomunitarias de este tipo de bienes cuyos destinatarios sean entidades públicas, sin ánimo de lucro y centros hospitalarios. Se trata de una medida de política fiscal que incide sobre una situación extraordinaria y que persigue obtener efectos sensibles durante el período sobre el que desplegará su vigencia, sin vocación de afectar con carácter permanente la estructura de tipos impositivos del IVA. Para evitar la necesidad de adaptar los sistemas de facturación de los sujetos pasivos, estas operaciones se documentarán en factura como operaciones exentas. No obstante, la aplicación de un tipo impositivo del cero por ciento no determina la limitación del derecho a la deducción del IVA soportado por el sujeto pasivo que realiza la operación.</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Con el fin de adaptar el cálculo aplicable a las liquidaciones de impuestos a la realidad económica, se adoptan dos medidas en el ámbito fiscal. Respecto del Impuesto sobre Sociedades, se permite, para los períodos impositivos iniciados a partir de 1-1-2020 y con efectos exclusivos para dicho período, que los contribuyentes cuyo volumen de operaciones no haya superado la cantidad de 600.000 euros ejerzan la opción por realizar los pagos fraccionados, sobre la parte de la base imponible del período de los 3, 9 u 11 primeros meses, mediante la presentación dentro del plazo ampliado por el mencionado Real Decreto-ley 14/2020 del pago fraccionado determinado por aplicación de la citada modalidad de base imponible. Para los contribuyentes que no hayan podido ejercer la opción de acuerdo con lo anterior y cuyo importe neto de la cifra de negocios no sea superior a 6.000.000 de euros se prevé que la opción pueda realizarse en el plazo del pago fraccionado que deba presentarse en los 20 primeros días del mes de octubre de 2020, determinado, igualmente, por aplicación de la citada modalidad de base imponible. Esta medida no será de aplicación para los grupos fiscales que apliquen el régimen especial de consolidación fiscal regulado en el capítulo VI del título VII de la Ley 27/2014, de 27-11, del Impuesto sobre Sociedades.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Por otra parte, resulta imprescindible adaptar temporalmente las cuantías de los pagos fraccionados e ingresos a cuenta de los diferentes impuestos que se determinan con arreglo a signos, índices o módulos, al ver su actividad alterada por la emergencia sanitaria que padecemos. Así, se adaptan, de forma proporcional al periodo temporal afectado por la declaración del estado de alarma en las actividades económicas, el cálculo de los pagos fraccionados en el método de estimación objetiva del IRPF y el ingreso a cuenta del régimen simplificado del IVA, que, al estar calculados sobre signos, índices o módulos, previamente determinados en situación de normalidad, conllevarían unas cuantías no ajustadas a la realidad de sus ingresos actuales.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Asimismo, para flexibilizar el régimen de pymes y autónomos, se elimina la vinculación obligatoria que durante tres años se establece legalmente para la renuncia al método de estimación objetiva del IRPF, del régimen simplificado y del régimen especial de la agricultura, ganadería y pesca del IVA, de manera que los contribuyentes puedan volver a aplicar dicho método en el ejercicio 2021, siempre que cumplan los requisitos normativos para su aplicación. De esta forma, al poder determinar la cuantía de su rendimiento neto con arreglo al método de estimación directa, podrán reflejar de manera más exacta la reducción de ingresos producida en su actividad económica como consecuencia del COVID-19, sin que dicha decisión afecte al método de determinación de los rendimientos aplicable en los siguientes ejercicios.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Por otro lado, se añade un nuevo </w:t>
      </w:r>
      <w:r w:rsidRPr="00390764">
        <w:rPr>
          <w:rFonts w:ascii="Comic Sans MS" w:eastAsia="Times New Roman" w:hAnsi="Comic Sans MS" w:cs="Arial"/>
          <w:color w:val="000000"/>
          <w:sz w:val="28"/>
          <w:szCs w:val="28"/>
          <w:u w:val="single"/>
          <w:lang w:eastAsia="es-ES"/>
        </w:rPr>
        <w:t>apartado 3 a la disposición adicional octava</w:t>
      </w:r>
      <w:r w:rsidRPr="00390764">
        <w:rPr>
          <w:rFonts w:ascii="Comic Sans MS" w:eastAsia="Times New Roman" w:hAnsi="Comic Sans MS" w:cs="Arial"/>
          <w:color w:val="000000"/>
          <w:sz w:val="28"/>
          <w:szCs w:val="28"/>
          <w:lang w:eastAsia="es-ES"/>
        </w:rPr>
        <w:t> del Real Decreto-Ley 11/2020, de 31-3, por el que se adoptan medidas urgentes complementarias en el ámbito social y económico para hacer frente al COVID-19 con la finalidad de habilitar la interposición y tramitación, dentro de aquellos procedimientos de contratación cuya continuación haya sido acordada por las entidades del sector público de conformidad con lo previsto en el apartado 4 de la disposición adicional tercera del Real Decreto 463/2020, de 14-3, de recurso especial en los términos establecidos en la propia Ley 9/2017, de 8-11, de Contratos del Sector Público, sin que el procedimiento de recurso pueda considerarse suspendido. De esta forma se garantiza, para todos los licitadores que tomen parte en estos procedimientos, la posibilidad de hacer valer sus derechos, pues los plazos del recurso especial previstos en la Ley 9/2017, de 8-11, de Contratos del Sector Público continuarán computándose en los términos establecidos en dicha Ley.</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A su vez, se extiende hasta el 30 de mayo la vigencia temporal de determinadas medidas tributarias contenidas en los Reales Decretos-leyes 8/2020 y 11/2020, que tenían como límite temporal el día 30-04-2020, o, en su caso, el día 20-5-2020, a fin de garantizar la adaptación de dichas medidas a la evolución de la crisis cuyos efectos pretenden mitigar. Dicha extensión también se aplicará a las Administraciones tributarias de las Comunidades Autónomas y Entidades Locales por la remisión efectuada por el artículo 53 del Real Decreto-ley 11/2020.</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A través del Real Decreto-ley 7/2020, de 12-3, por el que se adoptan medidas urgentes para responder al impacto económico del COVID-19, se estableció, como medida de apoyo financiero transitorio, la flexibilización en materia de aplazamiento de deudas tributarias, concediendo durante 6 meses esta facilidad de pago de tributos a pymes y autónomos, previa solicitud, pero limitada a solicitudes de aplazamiento de deudas respecto de las que, por no superar determinada cuantía, estuviesen exentas de la obligación de aportar garantía.</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Como complemento a dicha posibilidad, se arbitra a través del presente real decreto-ley la posibilidad de supeditar el pago de las deudas tributarias a la obtención de la financiación a que se refiere el Real Decreto-Ley 8/2020, de 17-3, de medidas urgentes extraordinarias para hacer frente al impacto económico y social del COVID-19, financiación caracterizada por contar con el aval del Estado.</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Se incluye una disposición final que modifica el Real Decreto-ley 8/2020, de 17-3, de medidas urgentes extraordinarias para hacer frente al impacto económico y social del COVID-19, el cual ya flexibilizó, a través de su artículo 33, entre otros plazos, los relacionados con el desarrollo de las subastas y adjudicación de bienes a los que se refieren los artículos 104.2 y 104 bis del Reglamento General de Recaudación, aprobado por Real Decreto 939/2005, de 29-7,</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En aras de la seguridad jurídica que debe presidir la actividad normativa, muy particularmente en los momentos actuales, caracterizados por la continua necesidad de adaptación y perfeccionamiento de los instrumentos normativos que el legislador pone a disposición de la sociedad civil, y como complemento a las normas de flexibilización de las obligaciones tributarias ya implementadas, se arbitra una solución, a través de esta modificación legal en el apartado 3 del precepto, para adaptar el ejercicio de derechos por licitadores y adjudicatarios en los procedimientos de enajenación desarrollados por la Agencia Estatal de Administración Tributaria a la ampliación de plazos que afecta a dichos procedimientos en cuya virtud el licitador podrá solicitar la anulación de sus pujas y la liberación de los depósitos constituidos y, en su caso, además el precio del remate ingresado, siempre que, en cuanto a los adjudicatarios, no se hubiera emitido certificación del acta de adjudicación de los bienes u otorgamiento de escritura pública de venta.</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Por último, en relación con el IVA, dado que el confinamiento ha hecho incrementar la demanda de productos culturales y de información de los ciudadanos, para facilitar el acceso a los libros, periódicos y revistas digitales, a través de una disposición final se reduce al 4 por ciento el tipo impositivo aplicable a los mismos, a la vez que se elimina la discriminación existente en materia de tipos impositivos entre el libro físico y el libro electrónico.</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b/>
          <w:bCs/>
          <w:color w:val="000000"/>
          <w:sz w:val="28"/>
          <w:szCs w:val="28"/>
          <w:lang w:eastAsia="es-ES"/>
        </w:rPr>
        <w:t>V - MEDIDAS PARA FACILITAR EL AJUSTE DE LA ECONOMÍA Y PROTEGER EL EMPLEO</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En el Real Decreto-ley 8/2020, de 17-3, se adoptaron diferentes medidas en materia de suspensión temporal de contratos y reducción de la jornada (</w:t>
      </w:r>
      <w:r w:rsidRPr="00390764">
        <w:rPr>
          <w:rFonts w:ascii="Comic Sans MS" w:eastAsia="Times New Roman" w:hAnsi="Comic Sans MS" w:cs="Arial"/>
          <w:color w:val="000000"/>
          <w:sz w:val="28"/>
          <w:szCs w:val="28"/>
          <w:lang w:eastAsia="es-ES"/>
        </w:rPr>
        <w:t>ERTEs</w:t>
      </w:r>
      <w:r w:rsidRPr="00390764">
        <w:rPr>
          <w:rFonts w:ascii="Comic Sans MS" w:eastAsia="Times New Roman" w:hAnsi="Comic Sans MS" w:cs="Arial"/>
          <w:color w:val="000000"/>
          <w:sz w:val="28"/>
          <w:szCs w:val="28"/>
          <w:lang w:eastAsia="es-ES"/>
        </w:rPr>
        <w:t>) con el objetivo de evitar que una situación coyuntural como la actual tuviera un impacto negativo de carácter estructural sobre el empleo.</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En el caso de la crisis sanitaria provocada por el COVID-19, la necesidad de acudir a medidas de ajuste en el ámbito laboral viene impuesta, en muchos supuestos, por las circunstancias ajenas a la voluntad de la empresa descritas en el </w:t>
      </w:r>
      <w:hyperlink r:id="rId4" w:anchor="a2-4" w:history="1">
        <w:r w:rsidRPr="00390764">
          <w:rPr>
            <w:rFonts w:ascii="Comic Sans MS" w:eastAsia="Times New Roman" w:hAnsi="Comic Sans MS" w:cs="Arial"/>
            <w:color w:val="0000FF"/>
            <w:sz w:val="28"/>
            <w:szCs w:val="28"/>
            <w:u w:val="single"/>
            <w:lang w:eastAsia="es-ES"/>
          </w:rPr>
          <w:t>artículo 22 del Real Decreto-ley 8/2020</w:t>
        </w:r>
      </w:hyperlink>
      <w:r w:rsidRPr="00390764">
        <w:rPr>
          <w:rFonts w:ascii="Comic Sans MS" w:eastAsia="Times New Roman" w:hAnsi="Comic Sans MS" w:cs="Arial"/>
          <w:color w:val="000000"/>
          <w:sz w:val="28"/>
          <w:szCs w:val="28"/>
          <w:lang w:eastAsia="es-ES"/>
        </w:rPr>
        <w:t>, con ánimo exhaustivo. La fuerza mayor definida en este precepto, por lo tanto, no está configurada por referencia a la construcción doctrinal y clásica de dicho concepto en nuestro ordenamiento civil. Se trata de un concepto de creación legal y concreción administrativa, directa e irremediablemente vinculado en exclusiva a la situación de excepcionalidad derivada de la crisis sanitaria sin precedentes a la que se enfrentan nuestro país y todo el planeta.</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Define este artículo 22 los supuestos a los que se atribuye de manera objetiva esa condición o carácter involuntario, perentorio y obstativo, correspondiendo a la autoridad laboral constatar la concurrencia de los hechos descritos, el necesario vínculo entre aquellos y la actividad productiva singular de la empresa, así como la proporcionalidad entre las medidas propuestas, en sus términos personales y objetivos, y el suceso configurado como de fuerza mayor.</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A diferencia de otros sucesos catastróficos, la fuerza mayor descrita en el artículo 22 del real decreto-ley se vincula a unas circunstancias concretas de carácter cambiante que son decididas en cada caso por la ley; de ahí su definición, los elementos que satisfacen en cada caso la concurrencia de la causa y el papel atribuido a la autoridad laboral.</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En consecuencia, tal y como se procede a aclarar con la modificación del artículo 22 recogida en el presente real decreto-ley, la fuerza mayor podrá ser parcial. En este sentido, puede esta no extenderse a toda la plantilla, respecto de aquellas empresas que desarrollan actividades consideradas esenciales durante esta crisis, concurriendo la causa obstativa descrita en el artículo 22 en la parte de actividad o en la parte de la plantilla no afectada por dicho carácter esencial.</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Asimismo, se refuerza la protección de las </w:t>
      </w:r>
      <w:r w:rsidRPr="00390764">
        <w:rPr>
          <w:rFonts w:ascii="Comic Sans MS" w:eastAsia="Times New Roman" w:hAnsi="Comic Sans MS" w:cs="Arial"/>
          <w:color w:val="000000"/>
          <w:sz w:val="28"/>
          <w:szCs w:val="28"/>
          <w:u w:val="single"/>
          <w:lang w:eastAsia="es-ES"/>
        </w:rPr>
        <w:t>trabajadoras y los trabajadores fijos-discontinuos</w:t>
      </w:r>
      <w:r w:rsidRPr="00390764">
        <w:rPr>
          <w:rFonts w:ascii="Comic Sans MS" w:eastAsia="Times New Roman" w:hAnsi="Comic Sans MS" w:cs="Arial"/>
          <w:color w:val="000000"/>
          <w:sz w:val="28"/>
          <w:szCs w:val="28"/>
          <w:lang w:eastAsia="es-ES"/>
        </w:rPr>
        <w:t>, ampliando la cobertura regulada en el Real Decreto-ley 8/2020, de 17-3, a aquellas personas trabajadoras que no hayan podido reincorporarse a su actividad en las fechas previstas, como consecuencia del COVID-19 y que, o bien disponiendo de periodos de ocupación cotizada suficiente, no cumplen el requisito de situación legal de desempleo, o bien no pueden acceder a la prestación por desempleo por carecer del periodo de cotización necesario para acceder a dicha prestación.</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Los trabajadores y trabajadoras autónomas tenían de plazo hasta el mes de junio de 2019 para realizar la opción por alguna Mutua colaboradora con la Seguridad Social para la gestión de determinadas prestaciones de Seguridad Social. Un colectivo de unos 50.000 autónomos no lo hicieron y en estos momentos tienen que realizar de forma masiva la solicitud de cese de actividad por lo que se dispone en este real decreto-ley que pueden optar por una Mutua al tiempo de solicitar el cese, y así garantizar que la nueva entidad les pueda reconocer el derecho y facilitar su tramitación.</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Igualmente, podrán solicitar la prestación de la Incapacidad Temporal a partir de ese momento también en la Mutua por la que opten.</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Por otro lado, para garantizar la seguridad jurídica y la coherencia con las medidas de suspensión de plazos adoptadas con carácter general en el seno de las Administraciones Públicas, se suspenden los plazos que rigen en el ámbito de funcionamiento y actuación de la Inspección de Trabajo y Seguridad Social, con la excepción de los casos en los que la intervención de dicho organismo sea necesaria para garantizar la protección del interés general o por estar relacionados con el COVID-19.</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Por otra parte, el Real Decreto-ley 9/2020, de 27-3, desarrolló un régimen sancionador adaptado a las circunstancias actuales con la implementación de los mecanismos de control y sanción necesarios que eviten comportamientos fraudulentos en la percepción de las prestaciones. En el presente real decreto-ley se refuerzan estos mecanismos de control y sanción. Concretamente, se regula la sanción de los comportamientos de las empresas que presenten solicitudes que contengan falsedades e incorrecciones en los datos facilitados y se establece una responsabilidad empresarial que implica la devolución, por parte de la empresa, de las prestaciones indebidamente percibidas por sus trabajadores y trabajadoras, cuando no medie dolo o culpa de estos.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Además, dado el contexto actual de emergencia sanitaria, se permite, de manera extraordinaria y limitada en el tiempo que el Fondo de Educación y Promoción de las Cooperativas, que desempeña un papel clave en la formación y educación de los socios, en la difusión de cooperativismo, así como en la promoción cultural, profesional y asistencial del entorno local y de la comunidad en general, pueda destinarse a cualquier actividad que contribuya a frenar o paliar los efectos de la crisis sanitaria derivada del COVID-19, mediante acciones propias, donaciones a otras entidades públicas o privadas o dotación de liquidez a la cooperativa para garantizar la continuidad de su funcionamiento.</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Las sociedades laborales son instituciones clave para la economía social y la generación de empleo. Por ello, con el objetivo de apoyar las iniciativas empresariales articuladas a través de una sociedad laboral se flexibilizan de forma temporal y extraordinaria algunos de los requisitos que permiten a las sociedades anónimas o de responsabilidad limitada la calificación de sociedad laboral.</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Por último, para garantizar la protección de las personas trabajadoras y seguir atendiendo a las necesidades de conciliación de la vida laboral y familiar en el contexto de la crisis del COVID-19, se prorroga 2 meses el carácter preferente del trabajo a distancia, así como el derecho de adaptación del horario y reducción de la jornada.</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En otro orden de cosas, la situación económica como consecuencia de la pandemia aconseja el impulso y reforzamiento del actual Sistema Especial para Trabajadores por Cuenta Propia Agrarios incluidos en el Régimen Especial de los Trabajadores por Cuenta Propia o Autónomos, en un momento en el que el sector agrario ha de ocupar un puesto de primera línea en la actividad económica, por su relevancia tanto en la población activa ocupada como en el producto interior bruto, adecuando su regulación a la nueva realidad del campo español.</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Es por ello que se introduce una reforma en los requisitos para la inclusión en el referido sistema especial, mediante la que se pretende prescindir de aquellos requisitos vinculados a rentas de trabajo. Con su supresión se facilita el acceso a las garantías sociales de los pequeños agricultores, lo que colaborará a la mejora de la seguridad jurídica, pues determina claramente quien es un pequeño agricultor.</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Esta modificación además pretende mitigar el efecto de la pandemia por el COVID-19 que ante la posibilidad de reducir drásticamente su producción y, por lo tanto, sus rentas agrarias harían inviable su permanencia en el sistema especial tal y como está actualmente configurado ya que no cumpliría con dichos requisitos. Así, esta reforma mejorará las perspectivas de viabilidad del sector, contribuyendo al establecimiento de una visión globalizada de todos los componentes de la explotación familiar agraria, con especial incidencia en la incorporación de las mujeres y de los jóvenes, como base esencial para el desarrollo futuro del campo.</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Con el objeto de mitigar en el ámbito portuario estatal el impacto económico provocado por la situación de crisis sanitaria ocasionada por el COVID-19, también se establecen una serie de medidas excepcionales y transitorias que den respuesta al mismo.</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Las medidas recogidas en este real decreto-ley responden, de un lado, a una eventual reducción de la actividad mínima comprometida en los títulos habilitantes otorgados en los puertos y permitirán, en concreto, a las Autoridades Portuarias alterar los tráficos mínimos establecidos en dichos títulos, con las implicaciones que ello conlleva. Y, por otro lado, se articulan medidas específicas respecto de la tasa de ocupación y la tasa del buque.</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Por otro lado, la paralización de la actividad económica surgida a raíz de esta emergencia sanitaria va a provocar retrasos en los ingresos previstos de los parques científicos y tecnológicos, haciendo imposible el cumplimiento de las obligaciones de reembolso derivadas de los préstamos que les fueron concedidos las convocatorias de ayudas otorgadas por la Administración General del Estado, lo que incide sobre su viabilidad a corto y a largo plazo.</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Para que puedan seguir cumpliendo con su objetivo de facilitar la colaboración público-privada en I+D+i y hacer posible la continuidad de los parques y de las entidades ubicadas en ellos, se introduce una disposición adicional que contempla medidas en relación con las cuotas derivadas de préstamos concedidos a entidades promotoras de parques científicos y tecnológicos en virtud de las convocatorias gestionadas exclusivamente por el Ministerio de Ciencia e Innovación, o el Ministerio competente en materia de investigación, desarrollo e innovación en años anteriores, desde el año 2000.</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En el corto plazo se articula un aplazamiento para las cuotas con vencimiento 2020, de forma que el pago de dichas cuotas se difiera a la misma fecha del año 2021. Asimismo, se prevé una actuación que posibilite la refinanciación de las cuotas adeudadas con vencimiento anterior a 2020, de tal forma que la deuda se distribuya entre las anualidades futuras de dichos préstamos, sin sobrepasar el plazo máximo de amortización del préstamo originario</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Asimismo, se incluye una disposición adicional para permitir el endeudamiento del Consorcio Barcelona Supercomputing Center-Centro Nacional de Supercomputación (BSC-CNS) con el fin de posibilitar el cumplimiento de los compromisos internacionales relacionados con el proyecto EuroHPC.</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Este Consorcio, de titularidad pública, constituido entre la Administración General del Estado, la Generalidad de Cataluña y la Universidad Politécnica de Cataluña, es un centro de I+D+I puntero y está colaborando activamente en la investigación frente a la pandemia ocasionada por el coronavirus COVID-19, mediante el análisis del genoma del virus gracias a la bioinformática. El centro colabora actualmente en el estudio de la propagación e impacto del coronavirus, para lo que los investigadores están analizando los datos a través de la inteligencia artificial y el procesamiento del lenguaje natural.</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La tecnología utilizada se basa en la capacidad de cálculo del superordenador MareNostrum 4, siendo el proceso utilizado en la búsqueda de tratamientos el conocido como «docking», o acoplamiento, que consiste en simular en el ordenador las interacciones entre el virus y las moléculas que podrían servir para fabricar vacunas, tratamientos con anticuerpos o tratamientos con fármacos. Recientemente, el Centro ha sido seleccionado por la Comisión Europea como sede de uno de los tres superordenadores pre-exascala que cofinanciará la Comisión durante los próximos años.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Para ello deberá adquirir el nuevo superordenador MareNostrum5, que tendrá un rendimiento máximo de al menos 200 Pflops (200.000 billones de operaciones por segundo), que multiplicará por 18 el del núcleo del actual MareNostrum 4 (13,7 Pflops), el superordenador principal actual del centro.</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Por otro lado, y como complemento de lo señalado por la Disposición adicional decimotercera del Real Decreto-ley 11/2020, de 31-3, que estableció las reglas aplicables a los contratos de trabajo suscritos con cargo a financiación de convocatorias públicas de recursos humanos en el ámbito de la investigación y a la integración de personal contratado en el Sistema Nacional de Salud, se incluye una disposición adicional que permita, asimismo, a las entidades que formen parte del Sistema Español de Ciencia, Tecnología e Investigación la posibilidad de prorrogar los contratos predoctorales que puedan haber suscrito más allá de las concretas convocatorias públicas de recursos humanos; por ejemplo, en el ámbito de proyectos de investigación estatales, autonómicos o europeos, o en el marco de convenios o contratos con otras entidades públicas o privadas.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Esta prórroga únicamente podrá tener lugar con cargo a la financiación de la entidad suscriptora del contrato, ya sea con fondos propios o con fondos provenientes de convenios o contratos con otras entidades públicas o privadas.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b/>
          <w:bCs/>
          <w:color w:val="000000"/>
          <w:sz w:val="28"/>
          <w:szCs w:val="28"/>
          <w:lang w:eastAsia="es-ES"/>
        </w:rPr>
        <w:t>VI - MEDIDAS DE PROTECCIÓN A LOS CIUDADANOS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u w:val="single"/>
          <w:lang w:eastAsia="es-ES"/>
        </w:rPr>
        <w:t>En primer lugar</w:t>
      </w:r>
      <w:r w:rsidRPr="00390764">
        <w:rPr>
          <w:rFonts w:ascii="Comic Sans MS" w:eastAsia="Times New Roman" w:hAnsi="Comic Sans MS" w:cs="Arial"/>
          <w:color w:val="000000"/>
          <w:sz w:val="28"/>
          <w:szCs w:val="28"/>
          <w:lang w:eastAsia="es-ES"/>
        </w:rPr>
        <w:t>, con el objetivo de dar una cobertura a todas las personas que en el contexto actual no tengan acceso a la prestación por desempleo, se adoptan nuevas medidas de protección. Concretamente, se les atribuye la consideración de </w:t>
      </w:r>
      <w:r w:rsidRPr="00390764">
        <w:rPr>
          <w:rFonts w:ascii="Comic Sans MS" w:eastAsia="Times New Roman" w:hAnsi="Comic Sans MS" w:cs="Arial"/>
          <w:color w:val="000000"/>
          <w:sz w:val="28"/>
          <w:szCs w:val="28"/>
          <w:u w:val="single"/>
          <w:lang w:eastAsia="es-ES"/>
        </w:rPr>
        <w:t>situación legal de desempleo</w:t>
      </w:r>
      <w:r w:rsidRPr="00390764">
        <w:rPr>
          <w:rFonts w:ascii="Comic Sans MS" w:eastAsia="Times New Roman" w:hAnsi="Comic Sans MS" w:cs="Arial"/>
          <w:color w:val="000000"/>
          <w:sz w:val="28"/>
          <w:szCs w:val="28"/>
          <w:lang w:eastAsia="es-ES"/>
        </w:rPr>
        <w:t> a aquellas </w:t>
      </w:r>
      <w:r w:rsidRPr="00390764">
        <w:rPr>
          <w:rFonts w:ascii="Comic Sans MS" w:eastAsia="Times New Roman" w:hAnsi="Comic Sans MS" w:cs="Arial"/>
          <w:color w:val="000000"/>
          <w:sz w:val="28"/>
          <w:szCs w:val="28"/>
          <w:u w:val="single"/>
          <w:lang w:eastAsia="es-ES"/>
        </w:rPr>
        <w:t>personas trabajadoras cuyos contratos han sido extinguidos durante el periodo de prueba desde el 9 de marzo</w:t>
      </w:r>
      <w:r w:rsidRPr="00390764">
        <w:rPr>
          <w:rFonts w:ascii="Comic Sans MS" w:eastAsia="Times New Roman" w:hAnsi="Comic Sans MS" w:cs="Arial"/>
          <w:color w:val="000000"/>
          <w:sz w:val="28"/>
          <w:szCs w:val="28"/>
          <w:lang w:eastAsia="es-ES"/>
        </w:rPr>
        <w:t>, así como a aquellos que lo hayan extinguido voluntariamente desde el 1 de marzo por tener una oferta laboral en firme que no ha llegado a materializarse como consecuencia del COVID-19.</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En relación a la extinción del contrato durante el periodo de prueba, esta situación de necesidad se actualizó en el momento en que fue declarado el estado de alarma, que efectivamente determinó la imposibilidad de estas personas de encontrar un nuevo empleo; pero el hecho causante, de conformidad con los datos existentes, se produjo antes, durante la semana del lunes día 9 al jueves 13, para más de un 12 % de las personas afectadas.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Para el segundo de los grupos a proteger, la situación de necesidad equivale a la frustración del esperado nuevo contrato de trabajo. Sin embargo, la decisión voluntaria de rescindir el contrato previo pudo producirse, y los datos demuestran que efectivamente para muchas personas así fue, con anterioridad a la declaración del estado de alarma, a partir del 1 de marzo.</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Proteger a las personas que actualmente son más vulnerables exige que, de modo excepcionalidad, dentro incluso de lo ya extraordinario de esta situación que estamos viviendo, la fecha a considerar para la construcción de estas nuevas medidas no sea la de 14-3, a diferencia del resto de normas adoptadas desde la entrada en vigor del Real Decreto 463/2020, sino aquellas en relación con las cuales los datos indican que las medidas serán realmente efectivas.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u w:val="single"/>
          <w:lang w:eastAsia="es-ES"/>
        </w:rPr>
        <w:t>En segundo lugar</w:t>
      </w:r>
      <w:r w:rsidRPr="00390764">
        <w:rPr>
          <w:rFonts w:ascii="Comic Sans MS" w:eastAsia="Times New Roman" w:hAnsi="Comic Sans MS" w:cs="Arial"/>
          <w:color w:val="000000"/>
          <w:sz w:val="28"/>
          <w:szCs w:val="28"/>
          <w:lang w:eastAsia="es-ES"/>
        </w:rPr>
        <w:t>, en la línea de contribuir a aliviar las necesidades de liquidez de los hogares, se desarrolla la medida relativa a la ampliación de las contingencias en las que se pueden </w:t>
      </w:r>
      <w:r w:rsidRPr="00390764">
        <w:rPr>
          <w:rFonts w:ascii="Comic Sans MS" w:eastAsia="Times New Roman" w:hAnsi="Comic Sans MS" w:cs="Arial"/>
          <w:color w:val="000000"/>
          <w:sz w:val="28"/>
          <w:szCs w:val="28"/>
          <w:u w:val="single"/>
          <w:lang w:eastAsia="es-ES"/>
        </w:rPr>
        <w:t>hacer efectivos los derechos consolidados de los planes de pensiones</w:t>
      </w:r>
      <w:r w:rsidRPr="00390764">
        <w:rPr>
          <w:rFonts w:ascii="Comic Sans MS" w:eastAsia="Times New Roman" w:hAnsi="Comic Sans MS" w:cs="Arial"/>
          <w:color w:val="000000"/>
          <w:sz w:val="28"/>
          <w:szCs w:val="28"/>
          <w:lang w:eastAsia="es-ES"/>
        </w:rPr>
        <w:t>, </w:t>
      </w:r>
      <w:hyperlink r:id="rId5" w:history="1">
        <w:r w:rsidRPr="00390764">
          <w:rPr>
            <w:rFonts w:ascii="Comic Sans MS" w:eastAsia="Times New Roman" w:hAnsi="Comic Sans MS" w:cs="Arial"/>
            <w:color w:val="0000FF"/>
            <w:sz w:val="28"/>
            <w:szCs w:val="28"/>
            <w:u w:val="single"/>
            <w:lang w:eastAsia="es-ES"/>
          </w:rPr>
          <w:t>recogida en el Real Decreto-ley 11/2020, de 31-3</w:t>
        </w:r>
      </w:hyperlink>
      <w:r w:rsidRPr="00390764">
        <w:rPr>
          <w:rFonts w:ascii="Comic Sans MS" w:eastAsia="Times New Roman" w:hAnsi="Comic Sans MS" w:cs="Arial"/>
          <w:color w:val="000000"/>
          <w:sz w:val="28"/>
          <w:szCs w:val="28"/>
          <w:lang w:eastAsia="es-ES"/>
        </w:rPr>
        <w:t>.</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Para ello se establecen las condiciones y términos en los que se podrán hacer efectivos los derechos consolidados, regulando, entre otras cuestiones, la acreditación de las circunstancias que dan derecho a la disponibilidad de los planes, el plazo al que se vinculan dichas circunstancias y el importe máximo del que se puede disponer.</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La formalización de instrumentos públicos en los que se refleje la moratoria, tanto legal, como aquella que las partes pudieran acordar, está sujeto al régimen arancelario previsto en el artículo 16 ter del Real Decreto-ley 8/2020, de 17-3, que consiste, básicamente en la incorporación de una bonificación del 50 % en los términos establecidos en dicho precepto. Esta reducción se aplica tanto al otorgamiento de la escritura pública, como a su inscripción registral.</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Se ha considerado adecuado que este mismo beneficio sea extendido a las formalizaciones de instrumentos públicos en el ámbito de los contratos de financiación no hipotecaria recogidos en los </w:t>
      </w:r>
      <w:hyperlink r:id="rId6" w:anchor="a2-3" w:history="1">
        <w:r w:rsidRPr="00390764">
          <w:rPr>
            <w:rFonts w:ascii="Comic Sans MS" w:eastAsia="Times New Roman" w:hAnsi="Comic Sans MS" w:cs="Arial"/>
            <w:color w:val="0000FF"/>
            <w:sz w:val="28"/>
            <w:szCs w:val="28"/>
            <w:u w:val="single"/>
            <w:lang w:eastAsia="es-ES"/>
          </w:rPr>
          <w:t>artículos 21 a 27 del Real Decreto-ley 11/2020, de 31-3</w:t>
        </w:r>
      </w:hyperlink>
      <w:r w:rsidRPr="00390764">
        <w:rPr>
          <w:rFonts w:ascii="Comic Sans MS" w:eastAsia="Times New Roman" w:hAnsi="Comic Sans MS" w:cs="Arial"/>
          <w:color w:val="000000"/>
          <w:sz w:val="28"/>
          <w:szCs w:val="28"/>
          <w:lang w:eastAsia="es-ES"/>
        </w:rPr>
        <w:t>, ya se trate de instrumento notarial o de póliza, en cuyo caso la bonificación habrá de ser equivalente.</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A su vez, </w:t>
      </w:r>
      <w:r w:rsidRPr="00390764">
        <w:rPr>
          <w:rFonts w:ascii="Comic Sans MS" w:eastAsia="Times New Roman" w:hAnsi="Comic Sans MS" w:cs="Arial"/>
          <w:color w:val="000000"/>
          <w:sz w:val="28"/>
          <w:szCs w:val="28"/>
          <w:u w:val="single"/>
          <w:lang w:eastAsia="es-ES"/>
        </w:rPr>
        <w:t>se introduce una disposición adicional</w:t>
      </w:r>
      <w:r w:rsidRPr="00390764">
        <w:rPr>
          <w:rFonts w:ascii="Comic Sans MS" w:eastAsia="Times New Roman" w:hAnsi="Comic Sans MS" w:cs="Arial"/>
          <w:color w:val="000000"/>
          <w:sz w:val="28"/>
          <w:szCs w:val="28"/>
          <w:lang w:eastAsia="es-ES"/>
        </w:rPr>
        <w:t> que regula el otorgamiento unilateral por el acreedor de los instrumentos notariales en que se formaliza la ampliación de plazo derivada de la moratoria legal de los préstamos o créditos garantizados con hipoteca, o mediante otro derecho inscribible distinto, y se justifica que lo que se documenta es el reconocimiento unilateral del acreedor de una obligación establecida ex lege.</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No puede ignorarse que resulta imprescindible el otorgamiento del instrumento notarial por cuanto es un documento público, con el valor y certeza que ello supone respecto de los elementos esenciales del negocio y por cuanto, en el caso de bienes o derechos inscribibles, el otorgamiento facilita la inscripción en el Registro Público correspondiente, en este caso, el Registro de Bienes Muebles. Por otra parte, el acceso al Registro de Bienes Muebles exige título público y, por tanto, resulta imprescindible la formalización del instrumento notarial porque a través de dicho registro se tutelan no solo los propios derechos e intereses del deudor, sino también los del acreedor y, muy especialmente, los de toda la ciudadanía mediante el mantenimiento de la fe pública con la integridad exactitud del registro, esto es, mediante el mantenimiento de un nivel de seguridad jurídica que permite la seguridad en el tráfico de bienes inscribibles que, de esta manera, mantienen su valor económico en dicho tráfico, pues cualquier tercero conoce las cargas a las que está sometido el bien.</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Así, para conjugar estos principios con la adecuada protección del deudor resulta imprescindible considerar que lo que se documenta en el instrumento notarial y que, en su caso, accederá al Registro, es la declaración unilateral de voluntad del acreedor, que como otorgante asumirá el coste de los derechos arancelarios, reconociendo la obligación establecida ex lege en favor de un deudor concreto.</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Por último, en relación con el derecho de resolución de determinados contratos sin penalización por parte de los consumidores y usuarios, es necesario clarificar la redacción para determinar con máximo rigor el momento de nacimiento de los derechos.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Así, se establece que el «dies a quo» del derecho a resolver el contrato es aquel en que resulta imposible su ejecución y el «dies ad quem» a los 14 días de aquel. En este sentido, se establece que el plazo de 60 días para entender que no se ha llegado a un acuerdo entre las partes empezará a computar en el momento en que el consumidor o usuario solicita la resolución del contrato, pues es en ese momento cuando el empresario tiene conocimiento oficial del hecho.</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La </w:t>
      </w:r>
      <w:r w:rsidRPr="00390764">
        <w:rPr>
          <w:rFonts w:ascii="Comic Sans MS" w:eastAsia="Times New Roman" w:hAnsi="Comic Sans MS" w:cs="Arial"/>
          <w:color w:val="000000"/>
          <w:sz w:val="28"/>
          <w:szCs w:val="28"/>
          <w:u w:val="single"/>
          <w:lang w:eastAsia="es-ES"/>
        </w:rPr>
        <w:t>Disposición adicional tercera</w:t>
      </w:r>
      <w:r w:rsidRPr="00390764">
        <w:rPr>
          <w:rFonts w:ascii="Comic Sans MS" w:eastAsia="Times New Roman" w:hAnsi="Comic Sans MS" w:cs="Arial"/>
          <w:color w:val="000000"/>
          <w:sz w:val="28"/>
          <w:szCs w:val="28"/>
          <w:lang w:eastAsia="es-ES"/>
        </w:rPr>
        <w:t> fija el importe máximo de la línea de avales establecida en el </w:t>
      </w:r>
      <w:hyperlink r:id="rId7" w:anchor="a9" w:history="1">
        <w:r w:rsidRPr="00390764">
          <w:rPr>
            <w:rFonts w:ascii="Comic Sans MS" w:eastAsia="Times New Roman" w:hAnsi="Comic Sans MS" w:cs="Arial"/>
            <w:color w:val="0000FF"/>
            <w:sz w:val="28"/>
            <w:szCs w:val="28"/>
            <w:u w:val="single"/>
            <w:lang w:eastAsia="es-ES"/>
          </w:rPr>
          <w:t>artículo 9 del Real Decreto-ley 11/2020 de 31-3</w:t>
        </w:r>
      </w:hyperlink>
      <w:r w:rsidRPr="00390764">
        <w:rPr>
          <w:rFonts w:ascii="Comic Sans MS" w:eastAsia="Times New Roman" w:hAnsi="Comic Sans MS" w:cs="Arial"/>
          <w:color w:val="000000"/>
          <w:sz w:val="28"/>
          <w:szCs w:val="28"/>
          <w:lang w:eastAsia="es-ES"/>
        </w:rPr>
        <w:t>, por el que se adoptan medidas urgentes complementarias en el ámbito social y económico para hacer frente al COVID-19, para dar cobertura a la financiación de arrendatarios de vivienda habitual que se encuentren en situación de vulnerabilidad como consecuencia el impacto social y económico de la pandemia.</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Esta disposición permitirá la concesión de préstamos avalados al 100 % por el Estado y sin coste para el beneficiario de gastos ni intereses a familias que, como consecuencia de la pandemia, se encuentren en dificultades para hacer frente a la renta de sus alquileres de vivienda habitual, por un importe total de hasta 1.200 millones de €. El objetivo es que todas las familias que reúnan las condiciones que se definirán por Orden del Ministerio de Transportes, Movilidad y Agenda Urbana, y que soliciten esos préstamos avalados, tengan acceso a los mismos a través de las entidades financieras.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El Real Decreto-ley 6/2011, de 13-5, por el que se adoptan medidas urgentes para reparar los daños causados por los movimientos sísmicos acaecidos el 11-5-2011 en Lorca, Murcia, estableció que el plazo para ejecutar las obras de reconstrucción y rehabilitación o de reparación de daños a que se destinan las ayudas se determinaría en la resolución de concesión, que no excedería de 24 meses y 12 meses respectivamente.</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Sin embargo, los plazos inicialmente previstos han resultado ser insuficientes dado el volumen de actuaciones y de tramitación que ha supuesto para las Administraciones concernidas. Por ello, se faculta a la Comunidad Autónoma de la Región de Murcia para que, en el marco de su regulación del procedimiento de concesión y justificación de las ayudas, en tanto que concedente de las mismas, sea quien fije los supuestos y los efectos a los que podría extenderse la ampliación de plazo. Con ello, se pretende garantizar la plena reconstrucción de un municipio que se vio afectado por un suceso que destruyó prácticamente la localidad. En cualquier caso, se establece que el plazo máximo que se fije para la ejecución de las obras de reconstrucción o rehabilitación de la vivienda o para la reparación de daños, no podrá ser posterior al 31 de octubre de 2023.</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Asimismo, se aprueba la extensión para el año 2020 de una reducción en la cotización durante la situación de inactividad en el Sistema Especial para Trabajadores por Cuenta Ajena Agrarios, establecido en el Régimen General de la Seguridad Social, para aquellos trabajadores que hubiesen realizado un máximo de 55 jornadas reales cotizadas en el año 2019. Al igual que se hizo en el año 2019 respecto al mismo colectivo, mediante esta medida se facilita el cumplimiento de la obligación de pago de la cotización a la Seguridad Social que han de afrontar los trabajadores agrarios por cuenta ajena que se encuentren en situación de inactividad, teniendo en cuenta tanto el incremento anual de esa cotización como el aumento del número de trabajadores que han pasado a la referida situación en el sector agrario, a consecuencia de la pandemia provocada por el COVID-19.</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Por otro lado, se procede a modificar el </w:t>
      </w:r>
      <w:hyperlink r:id="rId8" w:anchor="a3-7" w:history="1">
        <w:r w:rsidRPr="00390764">
          <w:rPr>
            <w:rFonts w:ascii="Comic Sans MS" w:eastAsia="Times New Roman" w:hAnsi="Comic Sans MS" w:cs="Arial"/>
            <w:color w:val="0000FF"/>
            <w:sz w:val="28"/>
            <w:szCs w:val="28"/>
            <w:u w:val="single"/>
            <w:lang w:eastAsia="es-ES"/>
          </w:rPr>
          <w:t>artículo 35 del Real Decreto-ley 11/2020, de 31-3</w:t>
        </w:r>
      </w:hyperlink>
      <w:r w:rsidRPr="00390764">
        <w:rPr>
          <w:rFonts w:ascii="Comic Sans MS" w:eastAsia="Times New Roman" w:hAnsi="Comic Sans MS" w:cs="Arial"/>
          <w:color w:val="000000"/>
          <w:sz w:val="28"/>
          <w:szCs w:val="28"/>
          <w:lang w:eastAsia="es-ES"/>
        </w:rPr>
        <w:t>, por el que se adoptan medidas urgentes complementarias en el ámbito social y económico para hacer frente al COVID-19, al objeto de otorgar una mayor seguridad jurídica al procedimiento administrativo a seguir para el aplazamiento en el pago de deudas con la Seguridad Social que en él se regula, dado el elevado número de solicitudes que vienen produciéndose desde su entrada en vigor. En tal sentido, se simplifica el procedimiento de resolución del aplazamiento, con independencia del número de mensualidades que comprenda, se fija un criterio homogéneo en la determinación del plazo de amortización mediante el pago escalonado de la deuda y se establece el efecto jurídico de la solicitud hasta la resolución del procedimiento, en relación con la suspensión de los plazos administrativos contemplada en la </w:t>
      </w:r>
      <w:hyperlink r:id="rId9" w:anchor="da-3" w:history="1">
        <w:r w:rsidRPr="00390764">
          <w:rPr>
            <w:rFonts w:ascii="Comic Sans MS" w:eastAsia="Times New Roman" w:hAnsi="Comic Sans MS" w:cs="Arial"/>
            <w:color w:val="0000FF"/>
            <w:sz w:val="28"/>
            <w:szCs w:val="28"/>
            <w:u w:val="single"/>
            <w:lang w:eastAsia="es-ES"/>
          </w:rPr>
          <w:t>disposición adicional tercera del Real Decreto 463/2020, de 14-3</w:t>
        </w:r>
      </w:hyperlink>
      <w:r w:rsidRPr="00390764">
        <w:rPr>
          <w:rFonts w:ascii="Comic Sans MS" w:eastAsia="Times New Roman" w:hAnsi="Comic Sans MS" w:cs="Arial"/>
          <w:color w:val="000000"/>
          <w:sz w:val="28"/>
          <w:szCs w:val="28"/>
          <w:lang w:eastAsia="es-ES"/>
        </w:rPr>
        <w:t>, por el que se declara el estado de alarma para la gestión de la situación de crisis sanitaria ocasionada por el COVID-19; por último, este aplazamiento se declara incompatible con la moratoria regulada en el </w:t>
      </w:r>
      <w:hyperlink r:id="rId10" w:anchor="a3-6" w:history="1">
        <w:r w:rsidRPr="00390764">
          <w:rPr>
            <w:rFonts w:ascii="Comic Sans MS" w:eastAsia="Times New Roman" w:hAnsi="Comic Sans MS" w:cs="Arial"/>
            <w:color w:val="0000FF"/>
            <w:sz w:val="28"/>
            <w:szCs w:val="28"/>
            <w:u w:val="single"/>
            <w:lang w:eastAsia="es-ES"/>
          </w:rPr>
          <w:t>artículo 34 del mismo Real Decreto-ley 11/2020, de 31-3</w:t>
        </w:r>
      </w:hyperlink>
      <w:r w:rsidRPr="00390764">
        <w:rPr>
          <w:rFonts w:ascii="Comic Sans MS" w:eastAsia="Times New Roman" w:hAnsi="Comic Sans MS" w:cs="Arial"/>
          <w:color w:val="000000"/>
          <w:sz w:val="28"/>
          <w:szCs w:val="28"/>
          <w:lang w:eastAsia="es-ES"/>
        </w:rPr>
        <w:t>.</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A la luz de la atribución de competencias prevista en el Real Decreto 2/2020, de 12-1, por el que se reestructuran los departamentos ministeriales, la organización del nuevo Ministerio de Inclusión, Seguridad Social y Migraciones hace necesarias algunas modificaciones normativas para hacer efectiva la integración del Régimen de Clases Pasivas en el citado Ministerio.</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En esta línea, el calendario para llevar a cabo las modificaciones legales necesarias para la integración efectiva del Régimen de Clases Pasivas en el Ministerio de Inclusión, Seguridad Social y Migraciones se ha visto radicalmente alterado por la crisis sanitaria provocada por el COVID-19 en la que se han centrado los esfuerzos de la acción del Gobierno en las últimas cinco semanas. En este sentido, es razonable considerar que esos cambios normativos no pueden ser aprobados mediante el procedimiento ordinario de tramitación parlamentaria, pues ello implicaría que, hasta la aprobación de tales reformas legislativas, la estructura organizativa derivada del Real Decreto 2/2020 no podría materializarse y, por lo tanto, los órganos competentes no podrían desarrollar las funciones que tienen atribuidas con arreglo al citado Real Decreto; circunstancia que generaría inseguridad jurídica e incertidumbre en una materia, las pensiones, particularmente sensible para el conjunto de la ciudadanía. Tal motivo justifica la extraordinaria y urgente necesidad de la situación y la conexión con ella de las medidas adoptadas.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Por último, se adoptan una serie de medidas para traspasar a las mutuas colaboradoras con la Seguridad Social la gestión de la </w:t>
      </w:r>
      <w:r w:rsidRPr="00390764">
        <w:rPr>
          <w:rFonts w:ascii="Comic Sans MS" w:eastAsia="Times New Roman" w:hAnsi="Comic Sans MS" w:cs="Arial"/>
          <w:color w:val="000000"/>
          <w:sz w:val="28"/>
          <w:szCs w:val="28"/>
          <w:u w:val="single"/>
          <w:lang w:eastAsia="es-ES"/>
        </w:rPr>
        <w:t>prestación extraordinaria de cese de actividad</w:t>
      </w:r>
      <w:r w:rsidRPr="00390764">
        <w:rPr>
          <w:rFonts w:ascii="Comic Sans MS" w:eastAsia="Times New Roman" w:hAnsi="Comic Sans MS" w:cs="Arial"/>
          <w:color w:val="000000"/>
          <w:sz w:val="28"/>
          <w:szCs w:val="28"/>
          <w:lang w:eastAsia="es-ES"/>
        </w:rPr>
        <w:t> contemplada en el </w:t>
      </w:r>
      <w:hyperlink r:id="rId11" w:anchor="a1-9" w:history="1">
        <w:r w:rsidRPr="00390764">
          <w:rPr>
            <w:rFonts w:ascii="Comic Sans MS" w:eastAsia="Times New Roman" w:hAnsi="Comic Sans MS" w:cs="Arial"/>
            <w:color w:val="0000FF"/>
            <w:sz w:val="28"/>
            <w:szCs w:val="28"/>
            <w:u w:val="single"/>
            <w:lang w:eastAsia="es-ES"/>
          </w:rPr>
          <w:t>artículo 17 del Real Decreto-ley 8/2020, de 17-3</w:t>
        </w:r>
      </w:hyperlink>
      <w:r w:rsidRPr="00390764">
        <w:rPr>
          <w:rFonts w:ascii="Comic Sans MS" w:eastAsia="Times New Roman" w:hAnsi="Comic Sans MS" w:cs="Arial"/>
          <w:color w:val="000000"/>
          <w:sz w:val="28"/>
          <w:szCs w:val="28"/>
          <w:lang w:eastAsia="es-ES"/>
        </w:rPr>
        <w:t>, de medidas urgentes extraordinarias para hacer frente al impacto económico y social del COVID-19, de aquellos autónomos que no hubiesen ejercitado la opción prevista en el </w:t>
      </w:r>
      <w:hyperlink r:id="rId12" w:anchor="a83" w:history="1">
        <w:r w:rsidRPr="00390764">
          <w:rPr>
            <w:rFonts w:ascii="Comic Sans MS" w:eastAsia="Times New Roman" w:hAnsi="Comic Sans MS" w:cs="Arial"/>
            <w:color w:val="0000FF"/>
            <w:sz w:val="28"/>
            <w:szCs w:val="28"/>
            <w:u w:val="single"/>
            <w:lang w:eastAsia="es-ES"/>
          </w:rPr>
          <w:t>artículo 83.1.b) del texto refundido de la Ley General de la Seguridad Social</w:t>
        </w:r>
      </w:hyperlink>
      <w:r w:rsidRPr="00390764">
        <w:rPr>
          <w:rFonts w:ascii="Comic Sans MS" w:eastAsia="Times New Roman" w:hAnsi="Comic Sans MS" w:cs="Arial"/>
          <w:color w:val="000000"/>
          <w:sz w:val="28"/>
          <w:szCs w:val="28"/>
          <w:lang w:eastAsia="es-ES"/>
        </w:rPr>
        <w:t>, aprobado por Real Decreto Legislativo 8/2015, de 30-10, dentro del plazo establecido por la disposición transitoria primera del Real Decreto-ley 28/2018, de 28-12, para la revalorización de las pensiones públicas y otras medidas urgentes en materia social, laboral y de empleo.</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A tal efecto, se modifica el </w:t>
      </w:r>
      <w:hyperlink r:id="rId13" w:anchor="a1-9" w:history="1">
        <w:r w:rsidRPr="00390764">
          <w:rPr>
            <w:rFonts w:ascii="Comic Sans MS" w:eastAsia="Times New Roman" w:hAnsi="Comic Sans MS" w:cs="Arial"/>
            <w:color w:val="0000FF"/>
            <w:sz w:val="28"/>
            <w:szCs w:val="28"/>
            <w:u w:val="single"/>
            <w:lang w:eastAsia="es-ES"/>
          </w:rPr>
          <w:t>apartado 7 del artículo 17 del Real Decreto-ley 8/2020</w:t>
        </w:r>
      </w:hyperlink>
      <w:r w:rsidRPr="00390764">
        <w:rPr>
          <w:rFonts w:ascii="Comic Sans MS" w:eastAsia="Times New Roman" w:hAnsi="Comic Sans MS" w:cs="Arial"/>
          <w:color w:val="000000"/>
          <w:sz w:val="28"/>
          <w:szCs w:val="28"/>
          <w:lang w:eastAsia="es-ES"/>
        </w:rPr>
        <w:t> por la </w:t>
      </w:r>
      <w:r w:rsidRPr="00390764">
        <w:rPr>
          <w:rFonts w:ascii="Comic Sans MS" w:eastAsia="Times New Roman" w:hAnsi="Comic Sans MS" w:cs="Arial"/>
          <w:color w:val="000000"/>
          <w:sz w:val="28"/>
          <w:szCs w:val="28"/>
          <w:u w:val="single"/>
          <w:lang w:eastAsia="es-ES"/>
        </w:rPr>
        <w:t>disposición final quinta</w:t>
      </w:r>
      <w:r w:rsidRPr="00390764">
        <w:rPr>
          <w:rFonts w:ascii="Comic Sans MS" w:eastAsia="Times New Roman" w:hAnsi="Comic Sans MS" w:cs="Arial"/>
          <w:color w:val="000000"/>
          <w:sz w:val="28"/>
          <w:szCs w:val="28"/>
          <w:lang w:eastAsia="es-ES"/>
        </w:rPr>
        <w:t>; por su parte, la disposición transitoria segunda concreta el procedimiento a seguir para la elección de una mutua y prevé el criterio a aplicar en caso de que no se ejerza el derecho de opción en el plazo de </w:t>
      </w:r>
      <w:r w:rsidRPr="00390764">
        <w:rPr>
          <w:rFonts w:ascii="Comic Sans MS" w:eastAsia="Times New Roman" w:hAnsi="Comic Sans MS" w:cs="Arial"/>
          <w:color w:val="000000"/>
          <w:sz w:val="28"/>
          <w:szCs w:val="28"/>
          <w:u w:val="single"/>
          <w:lang w:eastAsia="es-ES"/>
        </w:rPr>
        <w:t>tres</w:t>
      </w:r>
      <w:r w:rsidRPr="00390764">
        <w:rPr>
          <w:rFonts w:ascii="Comic Sans MS" w:eastAsia="Times New Roman" w:hAnsi="Comic Sans MS" w:cs="Arial"/>
          <w:color w:val="000000"/>
          <w:sz w:val="28"/>
          <w:szCs w:val="28"/>
          <w:lang w:eastAsia="es-ES"/>
        </w:rPr>
        <w:t> meses desde la finalización del estado de alarma. Estas medidas son urgentes, necesarias y proporcionadas, teniendo en cuenta la elevada carga y las dificultades de gestión a las que se enfrentan las entidades gestoras en el momento actual.</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En otro orden de cosas, la pandemia ha paralizado toda la </w:t>
      </w:r>
      <w:r w:rsidRPr="00390764">
        <w:rPr>
          <w:rFonts w:ascii="Comic Sans MS" w:eastAsia="Times New Roman" w:hAnsi="Comic Sans MS" w:cs="Arial"/>
          <w:color w:val="000000"/>
          <w:sz w:val="28"/>
          <w:szCs w:val="28"/>
          <w:u w:val="single"/>
          <w:lang w:eastAsia="es-ES"/>
        </w:rPr>
        <w:t>actividad deportiva profesional y no profesional</w:t>
      </w:r>
      <w:r w:rsidRPr="00390764">
        <w:rPr>
          <w:rFonts w:ascii="Comic Sans MS" w:eastAsia="Times New Roman" w:hAnsi="Comic Sans MS" w:cs="Arial"/>
          <w:color w:val="000000"/>
          <w:sz w:val="28"/>
          <w:szCs w:val="28"/>
          <w:lang w:eastAsia="es-ES"/>
        </w:rPr>
        <w:t>, reduciendo las vías de financiación de las federaciones deportivas, campeonatos y deportistas exclusivamente a las subvenciones estatales. En este contexto, el fútbol, como gran motor económico del deporte español, será clave por su capacidad de tracción respecto al resto del sector en España en la etapa de reconstrucción que habrá de acometerse con carácter inmediato.</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Para contribuir a financiar y dotar de estabilidad al deporte federado, olímpico y paralímpico en la antesala de unos Juegos Olímpicos, así como a la internacionalización del deporte español a través de la contribución solidaria de los derechos audiovisuales generados por el fútbol, se modifica el Real Decreto-ley 5/2015, de 30-4, de medidas urgentes en relación con la comercialización de los derechos de explotación de contenidos audiovisuales de las competiciones de fútbol profesional, facilitando la transferencia de recursos privados generados por el futbol hacia políticas públicas.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A tal efecto, se crea la «Fundación España Deporte Global», fundación del sector público estatal, como instrumento más adecuado para la consecución de estos fines de interés general en régimen de autonomía y descentralización funcional. La fundación estará adscrita a la Administración General del Estado, a través del Consejo Superior de Deportes, y contará con la participación de la Real Federación Española de Fútbol, La Liga de Fútbol Profesional y las restantes Federaciones deportivas españolas y competiciones oficiales y no oficiales. La parálisis actual de las competiciones, y por tanto, de falta de generación de ingresos de la actividad deportiva, requiere adoptar de forma inmediata medidas para garantizar la sostenibilidad de las federaciones deportivas y de los programas de preparación para los Juegos Olímpicos de Tokio; siendo fundamental para ello la puesta en marcha de la referida fundación, a efectos de canalizar la inyección económica que, como consecuencia de la modificación del Real Decreto-ley 5/2015, de 30-4, se aportaría a la misma.</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Por otra parte, cabe destacar la inclusión de una </w:t>
      </w:r>
      <w:r w:rsidRPr="00390764">
        <w:rPr>
          <w:rFonts w:ascii="Comic Sans MS" w:eastAsia="Times New Roman" w:hAnsi="Comic Sans MS" w:cs="Arial"/>
          <w:color w:val="000000"/>
          <w:sz w:val="28"/>
          <w:szCs w:val="28"/>
          <w:u w:val="single"/>
          <w:lang w:eastAsia="es-ES"/>
        </w:rPr>
        <w:t>disposición final cuarta</w:t>
      </w:r>
      <w:r w:rsidRPr="00390764">
        <w:rPr>
          <w:rFonts w:ascii="Comic Sans MS" w:eastAsia="Times New Roman" w:hAnsi="Comic Sans MS" w:cs="Arial"/>
          <w:color w:val="000000"/>
          <w:sz w:val="28"/>
          <w:szCs w:val="28"/>
          <w:lang w:eastAsia="es-ES"/>
        </w:rPr>
        <w:t>, por la que se modifica la </w:t>
      </w:r>
      <w:r w:rsidRPr="00390764">
        <w:rPr>
          <w:rFonts w:ascii="Comic Sans MS" w:eastAsia="Times New Roman" w:hAnsi="Comic Sans MS" w:cs="Arial"/>
          <w:color w:val="000000"/>
          <w:sz w:val="28"/>
          <w:szCs w:val="28"/>
          <w:u w:val="single"/>
          <w:lang w:eastAsia="es-ES"/>
        </w:rPr>
        <w:t>letra d) del apartado 4 del artículo 159</w:t>
      </w:r>
      <w:r w:rsidRPr="00390764">
        <w:rPr>
          <w:rFonts w:ascii="Comic Sans MS" w:eastAsia="Times New Roman" w:hAnsi="Comic Sans MS" w:cs="Arial"/>
          <w:color w:val="000000"/>
          <w:sz w:val="28"/>
          <w:szCs w:val="28"/>
          <w:lang w:eastAsia="es-ES"/>
        </w:rPr>
        <w:t> de la Ley 9/2017, de 8-11, de Contratos del Sector Público cuando regula el acto de apertura de los sobres o archivos electrónicos de los licitadores que contengan la oferta evaluable a través de criterios cuantificables mediante la mera aplicación de fórmulas, dentro del procedimiento abierto simplificado, eliminando la exigencia que la apertura de los sobres tenga lugar en todo caso mediante acto público.</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La reforma del precepto se encamina a permitir que la apertura de la oferta económica, tal y como se prevé en el artículo 157.4 LCSP para los procedimientos abiertos, del que el procedimiento abierto simplificado no deja de ser una especialidad, sea realizada en acto público, salvo cuando se prevea que en la licitación puedan emplearse medios electrónicos.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La modificación del precepto no solo supone una mejora técnica deseable que está en línea con la regla general de presentación de ofertas por medios electrónicos establecida en la Disposición adicional decimoquinta de la LCSP que ya garantiza la integridad y el secreto de las proposiciones y permite el acceso a la documentación correspondiente a los aspectos dependientes de la aplicación de una fórmula, sino que permite resolver el problema coyuntural que se plantea en aquellos procedimientos de adjudicación cuya tramitación se ha reanudado por resultar indispensables para el funcionamiento de los servicios esenciales de la Administración Pública pero en los que no es posible proceder a la apertura de los sobres por las restricciones derivadas de las medidas de contención adoptadas para mitigar la propagación de la pandemia COVID-19.</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También se introduce en este real decreto-ley una disposición adicional novena por la que se fijan reglas específicas aplicables a las ayudas con cargo a financiación de convocatorias públicas en el ámbito universitario.</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Dichas reglas van encaminadas a garantizar que las dificultades en la realización de las actividades para las que se otorgaron las ayudas, derivadas de la declaración del estado de alarma mediante Real Decreto 463/2020, de 14-3, no impidan el adecuado desempeño de los estudiantes universitarios, del personal investigador y/o del profesorado universitario. Así, se habilita normativamente la posibilidad de modificar las condiciones de dichas ayudas, de tal forma que se garantice la continuidad de proyectos, incluyendo los relativos a las especialidades relacionadas con el ámbito sanitario.</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Por último, esta norma también incluye medidas destinadas a favorecer la devolución de los denominados «préstamos renta-universidad», que actualizan las adoptadas en el Real Decreto-ley 3/2019, de 8-2o, de medidas urgentes en el ámbito de la Ciencia, la Tecnología, la Innovación y la Universidad. Debido a las consecuencias económicas derivadas de la crisis sanitaria, determinados prestatarios no pueden hacer frente al reembolso de los préstamos, de manera que se abre la posibilidad de optar por la novación de estos instrumentos contractuales dentro de un nuevo plazo, manteniendo las condiciones establecidas en el citado real decreto-ley.</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b/>
          <w:bCs/>
          <w:color w:val="000000"/>
          <w:sz w:val="28"/>
          <w:szCs w:val="28"/>
          <w:lang w:eastAsia="es-ES"/>
        </w:rPr>
        <w:t>VII -</w:t>
      </w:r>
      <w:r w:rsidRPr="00390764">
        <w:rPr>
          <w:rFonts w:ascii="Comic Sans MS" w:eastAsia="Times New Roman" w:hAnsi="Comic Sans MS" w:cs="Arial"/>
          <w:color w:val="000000"/>
          <w:sz w:val="28"/>
          <w:szCs w:val="28"/>
          <w:lang w:eastAsia="es-ES"/>
        </w:rPr>
        <w:t> Previa deliberación del Consejo de Ministros en su reunión del día 21-4-2020, </w:t>
      </w:r>
      <w:r w:rsidRPr="00390764">
        <w:rPr>
          <w:rFonts w:ascii="Comic Sans MS" w:eastAsia="Times New Roman" w:hAnsi="Comic Sans MS" w:cs="Arial"/>
          <w:color w:val="000000"/>
          <w:sz w:val="28"/>
          <w:szCs w:val="28"/>
          <w:u w:val="single"/>
          <w:lang w:eastAsia="es-ES"/>
        </w:rPr>
        <w:t>DISPONGO:</w:t>
      </w:r>
    </w:p>
    <w:p w:rsidR="00390764" w:rsidRPr="00390764" w:rsidRDefault="00390764" w:rsidP="00390764">
      <w:pPr>
        <w:spacing w:before="100" w:beforeAutospacing="1" w:after="100" w:afterAutospacing="1" w:line="240" w:lineRule="auto"/>
        <w:jc w:val="both"/>
        <w:rPr>
          <w:rFonts w:ascii="Comic Sans MS" w:eastAsia="Times New Roman" w:hAnsi="Comic Sans MS" w:cs="Times New Roman"/>
          <w:sz w:val="28"/>
          <w:szCs w:val="28"/>
          <w:lang w:eastAsia="es-ES"/>
        </w:rPr>
      </w:pPr>
      <w:hyperlink r:id="rId14" w:anchor="ci" w:history="1">
        <w:r w:rsidRPr="00390764">
          <w:rPr>
            <w:rFonts w:ascii="Comic Sans MS" w:eastAsia="Times New Roman" w:hAnsi="Comic Sans MS" w:cs="Arial"/>
            <w:b/>
            <w:bCs/>
            <w:color w:val="800080"/>
            <w:sz w:val="28"/>
            <w:szCs w:val="28"/>
            <w:lang w:eastAsia="es-ES"/>
          </w:rPr>
          <w:t>CAPÍTULO I. Medidas de apoyo a los trabajadores, familias y colectivos vulnerables</w:t>
        </w:r>
      </w:hyperlink>
    </w:p>
    <w:p w:rsidR="00390764" w:rsidRPr="00390764" w:rsidRDefault="00390764" w:rsidP="00390764">
      <w:pPr>
        <w:spacing w:before="100" w:beforeAutospacing="1" w:after="100" w:afterAutospacing="1" w:line="240" w:lineRule="auto"/>
        <w:jc w:val="both"/>
        <w:rPr>
          <w:rFonts w:ascii="Comic Sans MS" w:eastAsia="Times New Roman" w:hAnsi="Comic Sans MS" w:cs="Times New Roman"/>
          <w:sz w:val="28"/>
          <w:szCs w:val="28"/>
          <w:lang w:eastAsia="es-ES"/>
        </w:rPr>
      </w:pPr>
      <w:hyperlink r:id="rId15" w:anchor="i" w:history="1">
        <w:r w:rsidRPr="00390764">
          <w:rPr>
            <w:rFonts w:ascii="Comic Sans MS" w:eastAsia="Times New Roman" w:hAnsi="Comic Sans MS" w:cs="Arial"/>
            <w:b/>
            <w:bCs/>
            <w:color w:val="800080"/>
            <w:sz w:val="28"/>
            <w:szCs w:val="28"/>
            <w:lang w:eastAsia="es-ES"/>
          </w:rPr>
          <w:t>I</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16" w:anchor="a1" w:history="1">
        <w:r w:rsidRPr="00390764">
          <w:rPr>
            <w:rFonts w:ascii="Comic Sans MS" w:eastAsia="Times New Roman" w:hAnsi="Comic Sans MS" w:cs="Arial"/>
            <w:color w:val="800080"/>
            <w:sz w:val="28"/>
            <w:szCs w:val="28"/>
            <w:u w:val="single"/>
            <w:lang w:eastAsia="es-ES"/>
          </w:rPr>
          <w:t>Artículo 1. Concesión de un suplemento de crédito en el Presupuesto del Ministerio de Derechos Sociales y Agenda 2030 para financiar un Fondo Social Extraordinario destinado exclusivamente a las consecuencias sociales del COVID-19.</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17" w:anchor="a2" w:history="1">
        <w:r w:rsidRPr="00390764">
          <w:rPr>
            <w:rFonts w:ascii="Comic Sans MS" w:eastAsia="Times New Roman" w:hAnsi="Comic Sans MS" w:cs="Arial"/>
            <w:color w:val="800080"/>
            <w:sz w:val="28"/>
            <w:szCs w:val="28"/>
            <w:u w:val="single"/>
            <w:lang w:eastAsia="es-ES"/>
          </w:rPr>
          <w:t>Artículo 2. Distribución del Fondo Social Extraordinario entre las comunidades autónomas y las ciudades autónomas de Ceuta y Melilla.</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18" w:anchor="a3" w:history="1">
        <w:r w:rsidRPr="00390764">
          <w:rPr>
            <w:rFonts w:ascii="Comic Sans MS" w:eastAsia="Times New Roman" w:hAnsi="Comic Sans MS" w:cs="Arial"/>
            <w:color w:val="800080"/>
            <w:sz w:val="28"/>
            <w:szCs w:val="28"/>
            <w:u w:val="single"/>
            <w:lang w:eastAsia="es-ES"/>
          </w:rPr>
          <w:t>Artículo 3. Destino del superávit de las entidades locales correspondiente a 2019 y aplicación en 2020 de la disposición adicional decimosexta del texto refundido de la Ley reguladora de las Haciendas Locales.</w:t>
        </w:r>
      </w:hyperlink>
    </w:p>
    <w:p w:rsidR="00390764" w:rsidRPr="00390764" w:rsidRDefault="00390764" w:rsidP="00390764">
      <w:pPr>
        <w:spacing w:before="100" w:beforeAutospacing="1" w:after="100" w:afterAutospacing="1" w:line="240" w:lineRule="auto"/>
        <w:jc w:val="both"/>
        <w:rPr>
          <w:rFonts w:ascii="Comic Sans MS" w:eastAsia="Times New Roman" w:hAnsi="Comic Sans MS" w:cs="Times New Roman"/>
          <w:sz w:val="28"/>
          <w:szCs w:val="28"/>
          <w:lang w:eastAsia="es-ES"/>
        </w:rPr>
      </w:pPr>
      <w:hyperlink r:id="rId19" w:anchor="ii" w:history="1">
        <w:r w:rsidRPr="00390764">
          <w:rPr>
            <w:rFonts w:ascii="Comic Sans MS" w:eastAsia="Times New Roman" w:hAnsi="Comic Sans MS" w:cs="Arial"/>
            <w:b/>
            <w:bCs/>
            <w:color w:val="800080"/>
            <w:sz w:val="28"/>
            <w:szCs w:val="28"/>
            <w:lang w:eastAsia="es-ES"/>
          </w:rPr>
          <w:t>II</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20" w:anchor="a4" w:history="1">
        <w:r w:rsidRPr="00390764">
          <w:rPr>
            <w:rFonts w:ascii="Comic Sans MS" w:eastAsia="Times New Roman" w:hAnsi="Comic Sans MS" w:cs="Arial"/>
            <w:color w:val="800080"/>
            <w:sz w:val="28"/>
            <w:szCs w:val="28"/>
            <w:u w:val="single"/>
            <w:lang w:eastAsia="es-ES"/>
          </w:rPr>
          <w:t>Artículo 4. Garantía de suministro de agua y energía a consumidores vulnerables.</w:t>
        </w:r>
      </w:hyperlink>
    </w:p>
    <w:p w:rsidR="00390764" w:rsidRPr="00390764" w:rsidRDefault="00390764" w:rsidP="00390764">
      <w:pPr>
        <w:spacing w:before="100" w:beforeAutospacing="1" w:after="100" w:afterAutospacing="1" w:line="240" w:lineRule="auto"/>
        <w:jc w:val="both"/>
        <w:rPr>
          <w:rFonts w:ascii="Comic Sans MS" w:eastAsia="Times New Roman" w:hAnsi="Comic Sans MS" w:cs="Times New Roman"/>
          <w:sz w:val="28"/>
          <w:szCs w:val="28"/>
          <w:lang w:eastAsia="es-ES"/>
        </w:rPr>
      </w:pPr>
      <w:hyperlink r:id="rId21" w:anchor="ii-2" w:history="1">
        <w:r w:rsidRPr="00390764">
          <w:rPr>
            <w:rFonts w:ascii="Comic Sans MS" w:eastAsia="Times New Roman" w:hAnsi="Comic Sans MS" w:cs="Arial"/>
            <w:b/>
            <w:bCs/>
            <w:color w:val="800080"/>
            <w:sz w:val="28"/>
            <w:szCs w:val="28"/>
            <w:lang w:eastAsia="es-ES"/>
          </w:rPr>
          <w:t>III</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22" w:anchor="a5" w:history="1">
        <w:r w:rsidRPr="00390764">
          <w:rPr>
            <w:rFonts w:ascii="Comic Sans MS" w:eastAsia="Times New Roman" w:hAnsi="Comic Sans MS" w:cs="Arial"/>
            <w:color w:val="800080"/>
            <w:sz w:val="28"/>
            <w:szCs w:val="28"/>
            <w:u w:val="single"/>
            <w:lang w:eastAsia="es-ES"/>
          </w:rPr>
          <w:t>Artículo 5. Carácter preferente del trabajo a distancia.</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23" w:anchor="a6" w:history="1">
        <w:r w:rsidRPr="00390764">
          <w:rPr>
            <w:rFonts w:ascii="Comic Sans MS" w:eastAsia="Times New Roman" w:hAnsi="Comic Sans MS" w:cs="Arial"/>
            <w:color w:val="800080"/>
            <w:sz w:val="28"/>
            <w:szCs w:val="28"/>
            <w:u w:val="single"/>
            <w:lang w:eastAsia="es-ES"/>
          </w:rPr>
          <w:t>Artículo 6. Plan MECUIDA.</w:t>
        </w:r>
      </w:hyperlink>
    </w:p>
    <w:p w:rsidR="00390764" w:rsidRPr="00390764" w:rsidRDefault="00390764" w:rsidP="00390764">
      <w:pPr>
        <w:spacing w:before="100" w:beforeAutospacing="1" w:after="100" w:afterAutospacing="1" w:line="240" w:lineRule="auto"/>
        <w:jc w:val="both"/>
        <w:rPr>
          <w:rFonts w:ascii="Comic Sans MS" w:eastAsia="Times New Roman" w:hAnsi="Comic Sans MS" w:cs="Times New Roman"/>
          <w:sz w:val="28"/>
          <w:szCs w:val="28"/>
          <w:lang w:eastAsia="es-ES"/>
        </w:rPr>
      </w:pPr>
      <w:hyperlink r:id="rId24" w:anchor="iv" w:history="1">
        <w:r w:rsidRPr="00390764">
          <w:rPr>
            <w:rFonts w:ascii="Comic Sans MS" w:eastAsia="Times New Roman" w:hAnsi="Comic Sans MS" w:cs="Arial"/>
            <w:b/>
            <w:bCs/>
            <w:color w:val="800080"/>
            <w:sz w:val="28"/>
            <w:szCs w:val="28"/>
            <w:lang w:eastAsia="es-ES"/>
          </w:rPr>
          <w:t>IV</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25" w:anchor="a7" w:history="1">
        <w:r w:rsidRPr="00390764">
          <w:rPr>
            <w:rFonts w:ascii="Comic Sans MS" w:eastAsia="Times New Roman" w:hAnsi="Comic Sans MS" w:cs="Arial"/>
            <w:color w:val="800080"/>
            <w:sz w:val="28"/>
            <w:szCs w:val="28"/>
            <w:u w:val="single"/>
            <w:lang w:eastAsia="es-ES"/>
          </w:rPr>
          <w:t>Artículo 7. Moratoria de deuda hipotecaria.</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26" w:anchor="a8" w:history="1">
        <w:r w:rsidRPr="00390764">
          <w:rPr>
            <w:rFonts w:ascii="Comic Sans MS" w:eastAsia="Times New Roman" w:hAnsi="Comic Sans MS" w:cs="Arial"/>
            <w:color w:val="800080"/>
            <w:sz w:val="28"/>
            <w:szCs w:val="28"/>
            <w:u w:val="single"/>
            <w:lang w:eastAsia="es-ES"/>
          </w:rPr>
          <w:t>Artículo 8. Ámbito de aplicación de la moratoria de deuda hipotecaria.</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27" w:anchor="a9" w:history="1">
        <w:r w:rsidRPr="00390764">
          <w:rPr>
            <w:rFonts w:ascii="Comic Sans MS" w:eastAsia="Times New Roman" w:hAnsi="Comic Sans MS" w:cs="Arial"/>
            <w:color w:val="800080"/>
            <w:sz w:val="28"/>
            <w:szCs w:val="28"/>
            <w:u w:val="single"/>
            <w:lang w:eastAsia="es-ES"/>
          </w:rPr>
          <w:t>Artículo 9. Definición de la situación de vulnerabilidad económica.</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28" w:anchor="a1-2" w:history="1">
        <w:r w:rsidRPr="00390764">
          <w:rPr>
            <w:rFonts w:ascii="Comic Sans MS" w:eastAsia="Times New Roman" w:hAnsi="Comic Sans MS" w:cs="Arial"/>
            <w:color w:val="800080"/>
            <w:sz w:val="28"/>
            <w:szCs w:val="28"/>
            <w:u w:val="single"/>
            <w:lang w:eastAsia="es-ES"/>
          </w:rPr>
          <w:t>Artículo 10. Fiadores, avalistas e hipotecantes no deudores.</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29" w:anchor="a1-3" w:history="1">
        <w:r w:rsidRPr="00390764">
          <w:rPr>
            <w:rFonts w:ascii="Comic Sans MS" w:eastAsia="Times New Roman" w:hAnsi="Comic Sans MS" w:cs="Arial"/>
            <w:color w:val="800080"/>
            <w:sz w:val="28"/>
            <w:szCs w:val="28"/>
            <w:u w:val="single"/>
            <w:lang w:eastAsia="es-ES"/>
          </w:rPr>
          <w:t>Artículo 11. Acreditación de las condiciones subjetivas.</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30" w:anchor="a1-4" w:history="1">
        <w:r w:rsidRPr="00390764">
          <w:rPr>
            <w:rFonts w:ascii="Comic Sans MS" w:eastAsia="Times New Roman" w:hAnsi="Comic Sans MS" w:cs="Arial"/>
            <w:color w:val="800080"/>
            <w:sz w:val="28"/>
            <w:szCs w:val="28"/>
            <w:u w:val="single"/>
            <w:lang w:eastAsia="es-ES"/>
          </w:rPr>
          <w:t>Artículo 12. Solicitud de moratoria.</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31" w:anchor="a1-5" w:history="1">
        <w:r w:rsidRPr="00390764">
          <w:rPr>
            <w:rFonts w:ascii="Comic Sans MS" w:eastAsia="Times New Roman" w:hAnsi="Comic Sans MS" w:cs="Arial"/>
            <w:color w:val="800080"/>
            <w:sz w:val="28"/>
            <w:szCs w:val="28"/>
            <w:u w:val="single"/>
            <w:lang w:eastAsia="es-ES"/>
          </w:rPr>
          <w:t>Artículo 13. Concesión de la moratoria.</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32" w:anchor="a1-6" w:history="1">
        <w:r w:rsidRPr="00390764">
          <w:rPr>
            <w:rFonts w:ascii="Comic Sans MS" w:eastAsia="Times New Roman" w:hAnsi="Comic Sans MS" w:cs="Arial"/>
            <w:color w:val="800080"/>
            <w:sz w:val="28"/>
            <w:szCs w:val="28"/>
            <w:u w:val="single"/>
            <w:lang w:eastAsia="es-ES"/>
          </w:rPr>
          <w:t>Artículo 14. Efectos de la moratoria.</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33" w:anchor="a1-7" w:history="1">
        <w:r w:rsidRPr="00390764">
          <w:rPr>
            <w:rFonts w:ascii="Comic Sans MS" w:eastAsia="Times New Roman" w:hAnsi="Comic Sans MS" w:cs="Arial"/>
            <w:color w:val="800080"/>
            <w:sz w:val="28"/>
            <w:szCs w:val="28"/>
            <w:u w:val="single"/>
            <w:lang w:eastAsia="es-ES"/>
          </w:rPr>
          <w:t>Artículo 15. Inaplicación de intereses moratorios.</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34" w:anchor="a1-8" w:history="1">
        <w:r w:rsidRPr="00390764">
          <w:rPr>
            <w:rFonts w:ascii="Comic Sans MS" w:eastAsia="Times New Roman" w:hAnsi="Comic Sans MS" w:cs="Arial"/>
            <w:color w:val="800080"/>
            <w:sz w:val="28"/>
            <w:szCs w:val="28"/>
            <w:u w:val="single"/>
            <w:lang w:eastAsia="es-ES"/>
          </w:rPr>
          <w:t>Artículo 16. Consecuencias de la aplicación indebida por el deudor de las medidas para la reestructuración de la deuda hipotecaria inmobiliaria.</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35" w:anchor="a1-12" w:history="1">
        <w:r w:rsidRPr="00390764">
          <w:rPr>
            <w:rFonts w:ascii="Comic Sans MS" w:eastAsia="Times New Roman" w:hAnsi="Comic Sans MS" w:cs="Arial"/>
            <w:color w:val="800080"/>
            <w:sz w:val="28"/>
            <w:szCs w:val="28"/>
            <w:u w:val="single"/>
            <w:lang w:eastAsia="es-ES"/>
          </w:rPr>
          <w:t>Artículo 16 bis. Régimen de supervisión y sanción.</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36" w:anchor="a1-13" w:history="1">
        <w:r w:rsidRPr="00390764">
          <w:rPr>
            <w:rFonts w:ascii="Comic Sans MS" w:eastAsia="Times New Roman" w:hAnsi="Comic Sans MS" w:cs="Arial"/>
            <w:color w:val="800080"/>
            <w:sz w:val="28"/>
            <w:szCs w:val="28"/>
            <w:u w:val="single"/>
            <w:lang w:eastAsia="es-ES"/>
          </w:rPr>
          <w:t>Artículo 16 ter. Formalización en escritura pública de la moratoria hipotecaria.</w:t>
        </w:r>
      </w:hyperlink>
    </w:p>
    <w:p w:rsidR="00390764" w:rsidRPr="00390764" w:rsidRDefault="00390764" w:rsidP="00390764">
      <w:pPr>
        <w:spacing w:before="100" w:beforeAutospacing="1" w:after="100" w:afterAutospacing="1" w:line="240" w:lineRule="auto"/>
        <w:jc w:val="both"/>
        <w:rPr>
          <w:rFonts w:ascii="Comic Sans MS" w:eastAsia="Times New Roman" w:hAnsi="Comic Sans MS" w:cs="Times New Roman"/>
          <w:sz w:val="28"/>
          <w:szCs w:val="28"/>
          <w:lang w:eastAsia="es-ES"/>
        </w:rPr>
      </w:pPr>
      <w:hyperlink r:id="rId37" w:anchor="v-2" w:history="1">
        <w:r w:rsidRPr="00390764">
          <w:rPr>
            <w:rFonts w:ascii="Comic Sans MS" w:eastAsia="Times New Roman" w:hAnsi="Comic Sans MS" w:cs="Arial"/>
            <w:b/>
            <w:bCs/>
            <w:color w:val="800080"/>
            <w:sz w:val="28"/>
            <w:szCs w:val="28"/>
            <w:lang w:eastAsia="es-ES"/>
          </w:rPr>
          <w:t>V</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38" w:anchor="a1-9" w:history="1">
        <w:r w:rsidRPr="00390764">
          <w:rPr>
            <w:rFonts w:ascii="Comic Sans MS" w:eastAsia="Times New Roman" w:hAnsi="Comic Sans MS" w:cs="Arial"/>
            <w:color w:val="800080"/>
            <w:sz w:val="28"/>
            <w:szCs w:val="28"/>
            <w:u w:val="single"/>
            <w:lang w:eastAsia="es-ES"/>
          </w:rPr>
          <w:t>Artículo 17. Prestación extraordinaria por cese de actividad para los afectados por declaración del estado de alarma para la gestión de la situación de crisis sanitaria ocasionada por el COVID-19.</w:t>
        </w:r>
      </w:hyperlink>
    </w:p>
    <w:p w:rsidR="00390764" w:rsidRPr="00390764" w:rsidRDefault="00390764" w:rsidP="00390764">
      <w:pPr>
        <w:spacing w:before="100" w:beforeAutospacing="1" w:after="100" w:afterAutospacing="1" w:line="240" w:lineRule="auto"/>
        <w:jc w:val="both"/>
        <w:rPr>
          <w:rFonts w:ascii="Comic Sans MS" w:eastAsia="Times New Roman" w:hAnsi="Comic Sans MS" w:cs="Times New Roman"/>
          <w:sz w:val="28"/>
          <w:szCs w:val="28"/>
          <w:lang w:eastAsia="es-ES"/>
        </w:rPr>
      </w:pPr>
      <w:hyperlink r:id="rId39" w:anchor="vi" w:history="1">
        <w:r w:rsidRPr="00390764">
          <w:rPr>
            <w:rFonts w:ascii="Comic Sans MS" w:eastAsia="Times New Roman" w:hAnsi="Comic Sans MS" w:cs="Arial"/>
            <w:b/>
            <w:bCs/>
            <w:color w:val="800080"/>
            <w:sz w:val="28"/>
            <w:szCs w:val="28"/>
            <w:lang w:eastAsia="es-ES"/>
          </w:rPr>
          <w:t>VI</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40" w:anchor="a1-10" w:history="1">
        <w:r w:rsidRPr="00390764">
          <w:rPr>
            <w:rFonts w:ascii="Comic Sans MS" w:eastAsia="Times New Roman" w:hAnsi="Comic Sans MS" w:cs="Arial"/>
            <w:color w:val="800080"/>
            <w:sz w:val="28"/>
            <w:szCs w:val="28"/>
            <w:u w:val="single"/>
            <w:lang w:eastAsia="es-ES"/>
          </w:rPr>
          <w:t>Artículo 18. Garantía en el mantenimiento de los servicios de comunicaciones electrónicas y la conectividad de banda ancha.</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41" w:anchor="a1-11" w:history="1">
        <w:r w:rsidRPr="00390764">
          <w:rPr>
            <w:rFonts w:ascii="Comic Sans MS" w:eastAsia="Times New Roman" w:hAnsi="Comic Sans MS" w:cs="Arial"/>
            <w:color w:val="800080"/>
            <w:sz w:val="28"/>
            <w:szCs w:val="28"/>
            <w:u w:val="single"/>
            <w:lang w:eastAsia="es-ES"/>
          </w:rPr>
          <w:t>Artículo 19. Garantía en la prestación del servicio universal de telecomunicaciones.</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42" w:anchor="a2-2" w:history="1">
        <w:r w:rsidRPr="00390764">
          <w:rPr>
            <w:rFonts w:ascii="Comic Sans MS" w:eastAsia="Times New Roman" w:hAnsi="Comic Sans MS" w:cs="Arial"/>
            <w:color w:val="800080"/>
            <w:sz w:val="28"/>
            <w:szCs w:val="28"/>
            <w:u w:val="single"/>
            <w:lang w:eastAsia="es-ES"/>
          </w:rPr>
          <w:t>Artículo 20. Suspensión de la portabilidad.</w:t>
        </w:r>
      </w:hyperlink>
    </w:p>
    <w:p w:rsidR="00390764" w:rsidRPr="00390764" w:rsidRDefault="00390764" w:rsidP="00390764">
      <w:pPr>
        <w:spacing w:before="100" w:beforeAutospacing="1" w:after="100" w:afterAutospacing="1" w:line="240" w:lineRule="auto"/>
        <w:jc w:val="both"/>
        <w:rPr>
          <w:rFonts w:ascii="Comic Sans MS" w:eastAsia="Times New Roman" w:hAnsi="Comic Sans MS" w:cs="Times New Roman"/>
          <w:sz w:val="28"/>
          <w:szCs w:val="28"/>
          <w:lang w:eastAsia="es-ES"/>
        </w:rPr>
      </w:pPr>
      <w:hyperlink r:id="rId43" w:anchor="vi-2" w:history="1">
        <w:r w:rsidRPr="00390764">
          <w:rPr>
            <w:rFonts w:ascii="Comic Sans MS" w:eastAsia="Times New Roman" w:hAnsi="Comic Sans MS" w:cs="Arial"/>
            <w:b/>
            <w:bCs/>
            <w:color w:val="800080"/>
            <w:sz w:val="28"/>
            <w:szCs w:val="28"/>
            <w:lang w:eastAsia="es-ES"/>
          </w:rPr>
          <w:t>VII</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44" w:anchor="a2-3" w:history="1">
        <w:r w:rsidRPr="00390764">
          <w:rPr>
            <w:rFonts w:ascii="Comic Sans MS" w:eastAsia="Times New Roman" w:hAnsi="Comic Sans MS" w:cs="Arial"/>
            <w:color w:val="800080"/>
            <w:sz w:val="28"/>
            <w:szCs w:val="28"/>
            <w:u w:val="single"/>
            <w:lang w:eastAsia="es-ES"/>
          </w:rPr>
          <w:t>Artículo 21. Interrupción del plazo para la devolución de productos durante vigencia del estado de alarma.</w:t>
        </w:r>
      </w:hyperlink>
    </w:p>
    <w:p w:rsidR="00390764" w:rsidRPr="00390764" w:rsidRDefault="00390764" w:rsidP="00390764">
      <w:pPr>
        <w:spacing w:before="100" w:beforeAutospacing="1" w:after="100" w:afterAutospacing="1" w:line="240" w:lineRule="auto"/>
        <w:jc w:val="both"/>
        <w:rPr>
          <w:rFonts w:ascii="Comic Sans MS" w:eastAsia="Times New Roman" w:hAnsi="Comic Sans MS" w:cs="Times New Roman"/>
          <w:sz w:val="28"/>
          <w:szCs w:val="28"/>
          <w:lang w:eastAsia="es-ES"/>
        </w:rPr>
      </w:pPr>
      <w:hyperlink r:id="rId45" w:anchor="ci-2" w:history="1">
        <w:r w:rsidRPr="00390764">
          <w:rPr>
            <w:rFonts w:ascii="Comic Sans MS" w:eastAsia="Times New Roman" w:hAnsi="Comic Sans MS" w:cs="Arial"/>
            <w:b/>
            <w:bCs/>
            <w:color w:val="800080"/>
            <w:sz w:val="28"/>
            <w:szCs w:val="28"/>
            <w:lang w:eastAsia="es-ES"/>
          </w:rPr>
          <w:t>CAPÍTULO II. Medidas de flexibilización de los mecanismos de ajuste temporal de actividad para evitar despidos</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46" w:anchor="a2-4" w:history="1">
        <w:r w:rsidRPr="00390764">
          <w:rPr>
            <w:rFonts w:ascii="Comic Sans MS" w:eastAsia="Times New Roman" w:hAnsi="Comic Sans MS" w:cs="Arial"/>
            <w:color w:val="800080"/>
            <w:sz w:val="28"/>
            <w:szCs w:val="28"/>
            <w:u w:val="single"/>
            <w:lang w:eastAsia="es-ES"/>
          </w:rPr>
          <w:t>Artículo 22. Medidas excepcionales en relación con los procedimientos de suspensión de contratos y reducción de jornada por causa de fuerza mayor.</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47" w:anchor="a2-5" w:history="1">
        <w:r w:rsidRPr="00390764">
          <w:rPr>
            <w:rFonts w:ascii="Comic Sans MS" w:eastAsia="Times New Roman" w:hAnsi="Comic Sans MS" w:cs="Arial"/>
            <w:color w:val="800080"/>
            <w:sz w:val="28"/>
            <w:szCs w:val="28"/>
            <w:u w:val="single"/>
            <w:lang w:eastAsia="es-ES"/>
          </w:rPr>
          <w:t>Artículo 23. Medidas excepcionales en relación con los procedimientos de suspensión y reducción de jornada por causa económica, técnica, organizativa y de producción.</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48" w:anchor="a2-6" w:history="1">
        <w:r w:rsidRPr="00390764">
          <w:rPr>
            <w:rFonts w:ascii="Comic Sans MS" w:eastAsia="Times New Roman" w:hAnsi="Comic Sans MS" w:cs="Arial"/>
            <w:color w:val="800080"/>
            <w:sz w:val="28"/>
            <w:szCs w:val="28"/>
            <w:u w:val="single"/>
            <w:lang w:eastAsia="es-ES"/>
          </w:rPr>
          <w:t>Artículo 24. Medidas extraordinarias en materia de cotización en relación con los procedimientos de suspensión de contratos y reducción de jornada por fuerza mayor relacionados con el COVID-19.</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49" w:anchor="a2-7" w:history="1">
        <w:r w:rsidRPr="00390764">
          <w:rPr>
            <w:rFonts w:ascii="Comic Sans MS" w:eastAsia="Times New Roman" w:hAnsi="Comic Sans MS" w:cs="Arial"/>
            <w:color w:val="800080"/>
            <w:sz w:val="28"/>
            <w:szCs w:val="28"/>
            <w:u w:val="single"/>
            <w:lang w:eastAsia="es-ES"/>
          </w:rPr>
          <w:t>Artículo 25. Medidas extraordinarias en materia de protección por desempleo en aplicación de los procedimientos referidos en los artículos 22 y 23.</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50" w:anchor="a2-8" w:history="1">
        <w:r w:rsidRPr="00390764">
          <w:rPr>
            <w:rFonts w:ascii="Comic Sans MS" w:eastAsia="Times New Roman" w:hAnsi="Comic Sans MS" w:cs="Arial"/>
            <w:color w:val="800080"/>
            <w:sz w:val="28"/>
            <w:szCs w:val="28"/>
            <w:u w:val="single"/>
            <w:lang w:eastAsia="es-ES"/>
          </w:rPr>
          <w:t>Artículo 26. Limitación temporal de los efectos de la presentación extemporánea de solicitudes de prestaciones por desempleo.</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51" w:anchor="a2-9" w:history="1">
        <w:r w:rsidRPr="00390764">
          <w:rPr>
            <w:rFonts w:ascii="Comic Sans MS" w:eastAsia="Times New Roman" w:hAnsi="Comic Sans MS" w:cs="Arial"/>
            <w:color w:val="800080"/>
            <w:sz w:val="28"/>
            <w:szCs w:val="28"/>
            <w:u w:val="single"/>
            <w:lang w:eastAsia="es-ES"/>
          </w:rPr>
          <w:t>Artículo 27. Medidas extraordinarias relativas a la prórroga del subsidio por desempleo y a la declaración anual de rentas.</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52" w:anchor="a2-10" w:history="1">
        <w:r w:rsidRPr="00390764">
          <w:rPr>
            <w:rFonts w:ascii="Comic Sans MS" w:eastAsia="Times New Roman" w:hAnsi="Comic Sans MS" w:cs="Arial"/>
            <w:color w:val="800080"/>
            <w:sz w:val="28"/>
            <w:szCs w:val="28"/>
            <w:u w:val="single"/>
            <w:lang w:eastAsia="es-ES"/>
          </w:rPr>
          <w:t>Artículo 28. Plazo de duración de las medidas previstas en el Capítulo II.</w:t>
        </w:r>
      </w:hyperlink>
    </w:p>
    <w:p w:rsidR="00390764" w:rsidRPr="00390764" w:rsidRDefault="00390764" w:rsidP="00390764">
      <w:pPr>
        <w:spacing w:before="100" w:beforeAutospacing="1" w:after="100" w:afterAutospacing="1" w:line="240" w:lineRule="auto"/>
        <w:jc w:val="both"/>
        <w:rPr>
          <w:rFonts w:ascii="Comic Sans MS" w:eastAsia="Times New Roman" w:hAnsi="Comic Sans MS" w:cs="Times New Roman"/>
          <w:sz w:val="28"/>
          <w:szCs w:val="28"/>
          <w:lang w:eastAsia="es-ES"/>
        </w:rPr>
      </w:pPr>
      <w:hyperlink r:id="rId53" w:anchor="ci-3" w:history="1">
        <w:r w:rsidRPr="00390764">
          <w:rPr>
            <w:rFonts w:ascii="Comic Sans MS" w:eastAsia="Times New Roman" w:hAnsi="Comic Sans MS" w:cs="Arial"/>
            <w:b/>
            <w:bCs/>
            <w:color w:val="800080"/>
            <w:sz w:val="28"/>
            <w:szCs w:val="28"/>
            <w:lang w:eastAsia="es-ES"/>
          </w:rPr>
          <w:t>CAPÍTULO III. Garantía de liquidez para sostener la actividad económica ante las dificultades transitorias consecuencia de la situación</w:t>
        </w:r>
      </w:hyperlink>
    </w:p>
    <w:p w:rsidR="00390764" w:rsidRPr="00390764" w:rsidRDefault="00390764" w:rsidP="00390764">
      <w:pPr>
        <w:spacing w:before="100" w:beforeAutospacing="1" w:after="100" w:afterAutospacing="1" w:line="240" w:lineRule="auto"/>
        <w:jc w:val="both"/>
        <w:rPr>
          <w:rFonts w:ascii="Comic Sans MS" w:eastAsia="Times New Roman" w:hAnsi="Comic Sans MS" w:cs="Times New Roman"/>
          <w:sz w:val="28"/>
          <w:szCs w:val="28"/>
          <w:lang w:eastAsia="es-ES"/>
        </w:rPr>
      </w:pPr>
      <w:hyperlink r:id="rId54" w:anchor="i-2" w:history="1">
        <w:r w:rsidRPr="00390764">
          <w:rPr>
            <w:rFonts w:ascii="Comic Sans MS" w:eastAsia="Times New Roman" w:hAnsi="Comic Sans MS" w:cs="Arial"/>
            <w:b/>
            <w:bCs/>
            <w:color w:val="800080"/>
            <w:sz w:val="28"/>
            <w:szCs w:val="28"/>
            <w:lang w:eastAsia="es-ES"/>
          </w:rPr>
          <w:t>I</w:t>
        </w:r>
      </w:hyperlink>
    </w:p>
    <w:p w:rsidR="00390764" w:rsidRPr="00390764" w:rsidRDefault="00390764" w:rsidP="00390764">
      <w:pPr>
        <w:spacing w:after="100" w:afterAutospacing="1" w:line="240" w:lineRule="auto"/>
        <w:jc w:val="both"/>
        <w:rPr>
          <w:rFonts w:ascii="Comic Sans MS" w:eastAsia="Times New Roman" w:hAnsi="Comic Sans MS" w:cs="Times New Roman"/>
          <w:sz w:val="28"/>
          <w:szCs w:val="28"/>
          <w:lang w:eastAsia="es-ES"/>
        </w:rPr>
      </w:pPr>
      <w:hyperlink r:id="rId55" w:anchor="s1" w:history="1">
        <w:r w:rsidRPr="00390764">
          <w:rPr>
            <w:rFonts w:ascii="Comic Sans MS" w:eastAsia="Times New Roman" w:hAnsi="Comic Sans MS" w:cs="Arial"/>
            <w:b/>
            <w:bCs/>
            <w:color w:val="800080"/>
            <w:sz w:val="28"/>
            <w:szCs w:val="28"/>
            <w:lang w:eastAsia="es-ES"/>
          </w:rPr>
          <w:t>Sección 1.ª Línea de avales para las empresas y autónomos para paliar los efectos económicos del COVID-19 y ampliación del límite de endeudamiento neto del ICO</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56" w:anchor="a2-11" w:history="1">
        <w:r w:rsidRPr="00390764">
          <w:rPr>
            <w:rFonts w:ascii="Comic Sans MS" w:eastAsia="Times New Roman" w:hAnsi="Comic Sans MS" w:cs="Arial"/>
            <w:color w:val="800080"/>
            <w:sz w:val="28"/>
            <w:szCs w:val="28"/>
            <w:u w:val="single"/>
            <w:lang w:eastAsia="es-ES"/>
          </w:rPr>
          <w:t>Artículo 29. Aprobación de una Línea para la cobertura por cuenta del Estado de la financiación otorgada por entidades financieras a empresas y autónomos.</w:t>
        </w:r>
      </w:hyperlink>
    </w:p>
    <w:p w:rsidR="00390764" w:rsidRPr="00390764" w:rsidRDefault="00390764" w:rsidP="00390764">
      <w:pPr>
        <w:spacing w:after="100" w:afterAutospacing="1" w:line="240" w:lineRule="auto"/>
        <w:jc w:val="both"/>
        <w:rPr>
          <w:rFonts w:ascii="Comic Sans MS" w:eastAsia="Times New Roman" w:hAnsi="Comic Sans MS" w:cs="Times New Roman"/>
          <w:sz w:val="28"/>
          <w:szCs w:val="28"/>
          <w:lang w:eastAsia="es-ES"/>
        </w:rPr>
      </w:pPr>
      <w:hyperlink r:id="rId57" w:anchor="s2" w:history="1">
        <w:r w:rsidRPr="00390764">
          <w:rPr>
            <w:rFonts w:ascii="Comic Sans MS" w:eastAsia="Times New Roman" w:hAnsi="Comic Sans MS" w:cs="Arial"/>
            <w:b/>
            <w:bCs/>
            <w:color w:val="800080"/>
            <w:sz w:val="28"/>
            <w:szCs w:val="28"/>
            <w:lang w:eastAsia="es-ES"/>
          </w:rPr>
          <w:t>Sección 2.ª Ampliación del límite de endeudamiento neto del ICO con el fin de aumentar los importes de las Líneas ICO de financiación a empresas y autónomos</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58" w:anchor="a3-2" w:history="1">
        <w:r w:rsidRPr="00390764">
          <w:rPr>
            <w:rFonts w:ascii="Comic Sans MS" w:eastAsia="Times New Roman" w:hAnsi="Comic Sans MS" w:cs="Arial"/>
            <w:color w:val="800080"/>
            <w:sz w:val="28"/>
            <w:szCs w:val="28"/>
            <w:u w:val="single"/>
            <w:lang w:eastAsia="es-ES"/>
          </w:rPr>
          <w:t>Artículo 30. Ampliación del límite de endeudamiento neto del ICO con el fin de aumentar las Líneas ICO de financiación a empresas y autónomos.</w:t>
        </w:r>
      </w:hyperlink>
    </w:p>
    <w:p w:rsidR="00390764" w:rsidRPr="00390764" w:rsidRDefault="00390764" w:rsidP="00390764">
      <w:pPr>
        <w:spacing w:before="100" w:beforeAutospacing="1" w:after="100" w:afterAutospacing="1" w:line="240" w:lineRule="auto"/>
        <w:jc w:val="both"/>
        <w:rPr>
          <w:rFonts w:ascii="Comic Sans MS" w:eastAsia="Times New Roman" w:hAnsi="Comic Sans MS" w:cs="Times New Roman"/>
          <w:sz w:val="28"/>
          <w:szCs w:val="28"/>
          <w:lang w:eastAsia="es-ES"/>
        </w:rPr>
      </w:pPr>
      <w:hyperlink r:id="rId59" w:anchor="ii-3" w:history="1">
        <w:r w:rsidRPr="00390764">
          <w:rPr>
            <w:rFonts w:ascii="Comic Sans MS" w:eastAsia="Times New Roman" w:hAnsi="Comic Sans MS" w:cs="Arial"/>
            <w:b/>
            <w:bCs/>
            <w:color w:val="800080"/>
            <w:sz w:val="28"/>
            <w:szCs w:val="28"/>
            <w:lang w:eastAsia="es-ES"/>
          </w:rPr>
          <w:t>II</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60" w:anchor="a3-3" w:history="1">
        <w:r w:rsidRPr="00390764">
          <w:rPr>
            <w:rFonts w:ascii="Comic Sans MS" w:eastAsia="Times New Roman" w:hAnsi="Comic Sans MS" w:cs="Arial"/>
            <w:color w:val="800080"/>
            <w:sz w:val="28"/>
            <w:szCs w:val="28"/>
            <w:u w:val="single"/>
            <w:lang w:eastAsia="es-ES"/>
          </w:rPr>
          <w:t>Artículo 31. Línea extraordinaria de cobertura aseguradora.</w:t>
        </w:r>
      </w:hyperlink>
    </w:p>
    <w:p w:rsidR="00390764" w:rsidRPr="00390764" w:rsidRDefault="00390764" w:rsidP="00390764">
      <w:pPr>
        <w:spacing w:before="100" w:beforeAutospacing="1" w:after="100" w:afterAutospacing="1" w:line="240" w:lineRule="auto"/>
        <w:jc w:val="both"/>
        <w:rPr>
          <w:rFonts w:ascii="Comic Sans MS" w:eastAsia="Times New Roman" w:hAnsi="Comic Sans MS" w:cs="Times New Roman"/>
          <w:sz w:val="28"/>
          <w:szCs w:val="28"/>
          <w:lang w:eastAsia="es-ES"/>
        </w:rPr>
      </w:pPr>
      <w:hyperlink r:id="rId61" w:anchor="ii-4" w:history="1">
        <w:r w:rsidRPr="00390764">
          <w:rPr>
            <w:rFonts w:ascii="Comic Sans MS" w:eastAsia="Times New Roman" w:hAnsi="Comic Sans MS" w:cs="Arial"/>
            <w:b/>
            <w:bCs/>
            <w:color w:val="800080"/>
            <w:sz w:val="28"/>
            <w:szCs w:val="28"/>
            <w:lang w:eastAsia="es-ES"/>
          </w:rPr>
          <w:t>III</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62" w:anchor="a3-4" w:history="1">
        <w:r w:rsidRPr="00390764">
          <w:rPr>
            <w:rFonts w:ascii="Comic Sans MS" w:eastAsia="Times New Roman" w:hAnsi="Comic Sans MS" w:cs="Arial"/>
            <w:color w:val="800080"/>
            <w:sz w:val="28"/>
            <w:szCs w:val="28"/>
            <w:u w:val="single"/>
            <w:lang w:eastAsia="es-ES"/>
          </w:rPr>
          <w:t>Artículo 32. Atribución de competencias para el despacho aduanero.</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63" w:anchor="a3-5" w:history="1">
        <w:r w:rsidRPr="00390764">
          <w:rPr>
            <w:rFonts w:ascii="Comic Sans MS" w:eastAsia="Times New Roman" w:hAnsi="Comic Sans MS" w:cs="Arial"/>
            <w:color w:val="800080"/>
            <w:sz w:val="28"/>
            <w:szCs w:val="28"/>
            <w:u w:val="single"/>
            <w:lang w:eastAsia="es-ES"/>
          </w:rPr>
          <w:t>Artículo 33. Suspensión de plazos en el ámbito tributario.</w:t>
        </w:r>
      </w:hyperlink>
    </w:p>
    <w:p w:rsidR="00390764" w:rsidRPr="00390764" w:rsidRDefault="00390764" w:rsidP="00390764">
      <w:pPr>
        <w:spacing w:before="100" w:beforeAutospacing="1" w:after="100" w:afterAutospacing="1" w:line="240" w:lineRule="auto"/>
        <w:jc w:val="both"/>
        <w:rPr>
          <w:rFonts w:ascii="Comic Sans MS" w:eastAsia="Times New Roman" w:hAnsi="Comic Sans MS" w:cs="Times New Roman"/>
          <w:sz w:val="28"/>
          <w:szCs w:val="28"/>
          <w:lang w:eastAsia="es-ES"/>
        </w:rPr>
      </w:pPr>
      <w:hyperlink r:id="rId64" w:anchor="iv-2" w:history="1">
        <w:r w:rsidRPr="00390764">
          <w:rPr>
            <w:rFonts w:ascii="Comic Sans MS" w:eastAsia="Times New Roman" w:hAnsi="Comic Sans MS" w:cs="Arial"/>
            <w:b/>
            <w:bCs/>
            <w:color w:val="800080"/>
            <w:sz w:val="28"/>
            <w:szCs w:val="28"/>
            <w:lang w:eastAsia="es-ES"/>
          </w:rPr>
          <w:t>IV</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65" w:anchor="a3-6" w:history="1">
        <w:r w:rsidRPr="00390764">
          <w:rPr>
            <w:rFonts w:ascii="Comic Sans MS" w:eastAsia="Times New Roman" w:hAnsi="Comic Sans MS" w:cs="Arial"/>
            <w:color w:val="800080"/>
            <w:sz w:val="28"/>
            <w:szCs w:val="28"/>
            <w:u w:val="single"/>
            <w:lang w:eastAsia="es-ES"/>
          </w:rPr>
          <w:t>Artículo 34. Medidas en materia de contratación pública para paliar las consecuencias del COVID-19.</w:t>
        </w:r>
      </w:hyperlink>
    </w:p>
    <w:p w:rsidR="00390764" w:rsidRPr="00390764" w:rsidRDefault="00390764" w:rsidP="00390764">
      <w:pPr>
        <w:spacing w:before="100" w:beforeAutospacing="1" w:after="100" w:afterAutospacing="1" w:line="240" w:lineRule="auto"/>
        <w:jc w:val="both"/>
        <w:rPr>
          <w:rFonts w:ascii="Comic Sans MS" w:eastAsia="Times New Roman" w:hAnsi="Comic Sans MS" w:cs="Times New Roman"/>
          <w:sz w:val="28"/>
          <w:szCs w:val="28"/>
          <w:lang w:eastAsia="es-ES"/>
        </w:rPr>
      </w:pPr>
      <w:hyperlink r:id="rId66" w:anchor="v" w:history="1">
        <w:r w:rsidRPr="00390764">
          <w:rPr>
            <w:rFonts w:ascii="Comic Sans MS" w:eastAsia="Times New Roman" w:hAnsi="Comic Sans MS" w:cs="Arial"/>
            <w:b/>
            <w:bCs/>
            <w:color w:val="800080"/>
            <w:sz w:val="28"/>
            <w:szCs w:val="28"/>
            <w:lang w:eastAsia="es-ES"/>
          </w:rPr>
          <w:t>V</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67" w:anchor="a3-7" w:history="1">
        <w:r w:rsidRPr="00390764">
          <w:rPr>
            <w:rFonts w:ascii="Comic Sans MS" w:eastAsia="Times New Roman" w:hAnsi="Comic Sans MS" w:cs="Arial"/>
            <w:color w:val="800080"/>
            <w:sz w:val="28"/>
            <w:szCs w:val="28"/>
            <w:u w:val="single"/>
            <w:lang w:eastAsia="es-ES"/>
          </w:rPr>
          <w:t>Artículo 35. Medidas financieras dirigidas a los titulares de explotaciones agrarias que hayan suscrito préstamos como consecuencia de la situación de sequía de 2017.</w:t>
        </w:r>
      </w:hyperlink>
    </w:p>
    <w:p w:rsidR="00390764" w:rsidRPr="00390764" w:rsidRDefault="00390764" w:rsidP="00390764">
      <w:pPr>
        <w:spacing w:before="100" w:beforeAutospacing="1" w:after="100" w:afterAutospacing="1" w:line="240" w:lineRule="auto"/>
        <w:jc w:val="both"/>
        <w:rPr>
          <w:rFonts w:ascii="Comic Sans MS" w:eastAsia="Times New Roman" w:hAnsi="Comic Sans MS" w:cs="Times New Roman"/>
          <w:sz w:val="28"/>
          <w:szCs w:val="28"/>
          <w:lang w:eastAsia="es-ES"/>
        </w:rPr>
      </w:pPr>
      <w:hyperlink r:id="rId68" w:anchor="ci-4" w:history="1">
        <w:r w:rsidRPr="00390764">
          <w:rPr>
            <w:rFonts w:ascii="Comic Sans MS" w:eastAsia="Times New Roman" w:hAnsi="Comic Sans MS" w:cs="Arial"/>
            <w:b/>
            <w:bCs/>
            <w:color w:val="800080"/>
            <w:sz w:val="28"/>
            <w:szCs w:val="28"/>
            <w:lang w:eastAsia="es-ES"/>
          </w:rPr>
          <w:t>CAPÍTULO IV. Medidas de apoyo a la investigación del COVID-19</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69" w:anchor="a3-8" w:history="1">
        <w:r w:rsidRPr="00390764">
          <w:rPr>
            <w:rFonts w:ascii="Comic Sans MS" w:eastAsia="Times New Roman" w:hAnsi="Comic Sans MS" w:cs="Arial"/>
            <w:color w:val="800080"/>
            <w:sz w:val="28"/>
            <w:szCs w:val="28"/>
            <w:u w:val="single"/>
            <w:lang w:eastAsia="es-ES"/>
          </w:rPr>
          <w:t>Artículo 36. Medidas laborales excepcionales en el ámbito de las entidades públicas integrantes del Sistema Español de Ciencia, Tecnología e Innovación.</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70" w:anchor="a3-9" w:history="1">
        <w:r w:rsidRPr="00390764">
          <w:rPr>
            <w:rFonts w:ascii="Comic Sans MS" w:eastAsia="Times New Roman" w:hAnsi="Comic Sans MS" w:cs="Arial"/>
            <w:color w:val="800080"/>
            <w:sz w:val="28"/>
            <w:szCs w:val="28"/>
            <w:u w:val="single"/>
            <w:lang w:eastAsia="es-ES"/>
          </w:rPr>
          <w:t>Artículo 37. Concesión de créditos extraordinarios en el presupuesto del Ministerio de Ciencia e Innovación en relación con la investigación científica en el ámbito del Coronavirus COVID-19.</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71" w:anchor="a3-10" w:history="1">
        <w:r w:rsidRPr="00390764">
          <w:rPr>
            <w:rFonts w:ascii="Comic Sans MS" w:eastAsia="Times New Roman" w:hAnsi="Comic Sans MS" w:cs="Arial"/>
            <w:color w:val="800080"/>
            <w:sz w:val="28"/>
            <w:szCs w:val="28"/>
            <w:u w:val="single"/>
            <w:lang w:eastAsia="es-ES"/>
          </w:rPr>
          <w:t>Artículo 38. Reglas relativas a las aportaciones dinerarias efectuadas por el Instituto de Salud Carlos III y el Consejo Superior de Investigaciones Científicas para la investigación científica y técnica derivada de la emergencia sanitaria causada por el coronavirus COVID-19.</w:t>
        </w:r>
      </w:hyperlink>
    </w:p>
    <w:p w:rsidR="00390764" w:rsidRPr="00390764" w:rsidRDefault="00390764" w:rsidP="00390764">
      <w:pPr>
        <w:spacing w:before="100" w:beforeAutospacing="1" w:after="100" w:afterAutospacing="1" w:line="240" w:lineRule="auto"/>
        <w:jc w:val="both"/>
        <w:rPr>
          <w:rFonts w:ascii="Comic Sans MS" w:eastAsia="Times New Roman" w:hAnsi="Comic Sans MS" w:cs="Times New Roman"/>
          <w:sz w:val="28"/>
          <w:szCs w:val="28"/>
          <w:lang w:eastAsia="es-ES"/>
        </w:rPr>
      </w:pPr>
      <w:hyperlink r:id="rId72" w:anchor="cv" w:history="1">
        <w:r w:rsidRPr="00390764">
          <w:rPr>
            <w:rFonts w:ascii="Comic Sans MS" w:eastAsia="Times New Roman" w:hAnsi="Comic Sans MS" w:cs="Arial"/>
            <w:b/>
            <w:bCs/>
            <w:color w:val="800080"/>
            <w:sz w:val="28"/>
            <w:szCs w:val="28"/>
            <w:lang w:eastAsia="es-ES"/>
          </w:rPr>
          <w:t>CAPÍTULO V. Otras medidas de flexibilización</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73" w:anchor="a3-11" w:history="1">
        <w:r w:rsidRPr="00390764">
          <w:rPr>
            <w:rFonts w:ascii="Comic Sans MS" w:eastAsia="Times New Roman" w:hAnsi="Comic Sans MS" w:cs="Arial"/>
            <w:color w:val="800080"/>
            <w:sz w:val="28"/>
            <w:szCs w:val="28"/>
            <w:u w:val="single"/>
            <w:lang w:eastAsia="es-ES"/>
          </w:rPr>
          <w:t>Artículo 39. Régimen especial de convenios relacionados con el COVID-19.</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74" w:anchor="a4-2" w:history="1">
        <w:r w:rsidRPr="00390764">
          <w:rPr>
            <w:rFonts w:ascii="Comic Sans MS" w:eastAsia="Times New Roman" w:hAnsi="Comic Sans MS" w:cs="Arial"/>
            <w:color w:val="800080"/>
            <w:sz w:val="28"/>
            <w:szCs w:val="28"/>
            <w:u w:val="single"/>
            <w:lang w:eastAsia="es-ES"/>
          </w:rPr>
          <w:t>Artículo 40. Medidas extraordinarias aplicables a las personas jurídicas de Derecho privado.</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75" w:anchor="a4-3" w:history="1">
        <w:r w:rsidRPr="00390764">
          <w:rPr>
            <w:rFonts w:ascii="Comic Sans MS" w:eastAsia="Times New Roman" w:hAnsi="Comic Sans MS" w:cs="Arial"/>
            <w:color w:val="800080"/>
            <w:sz w:val="28"/>
            <w:szCs w:val="28"/>
            <w:u w:val="single"/>
            <w:lang w:eastAsia="es-ES"/>
          </w:rPr>
          <w:t>Artículo 41. Medidas extraordinarias aplicables al funcionamiento de los órganos de gobierno de las Sociedades Anónimas Cotizadas.</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76" w:anchor="a4-4" w:history="1">
        <w:r w:rsidRPr="00390764">
          <w:rPr>
            <w:rFonts w:ascii="Comic Sans MS" w:eastAsia="Times New Roman" w:hAnsi="Comic Sans MS" w:cs="Arial"/>
            <w:color w:val="800080"/>
            <w:sz w:val="28"/>
            <w:szCs w:val="28"/>
            <w:u w:val="single"/>
            <w:lang w:eastAsia="es-ES"/>
          </w:rPr>
          <w:t>Artículo 42. Suspensión del plazo de caducidad de los asientos del registro durante la vigencia del real decreto de declaración del estado de alarma.</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77" w:anchor="a4-5" w:history="1">
        <w:r w:rsidRPr="00390764">
          <w:rPr>
            <w:rFonts w:ascii="Comic Sans MS" w:eastAsia="Times New Roman" w:hAnsi="Comic Sans MS" w:cs="Arial"/>
            <w:color w:val="800080"/>
            <w:sz w:val="28"/>
            <w:szCs w:val="28"/>
            <w:u w:val="single"/>
            <w:lang w:eastAsia="es-ES"/>
          </w:rPr>
          <w:t>Artículo 43. Plazo del deber de solicitud de concurso.</w:t>
        </w:r>
      </w:hyperlink>
    </w:p>
    <w:p w:rsidR="00390764" w:rsidRPr="00390764" w:rsidRDefault="00390764" w:rsidP="00390764">
      <w:pPr>
        <w:spacing w:before="100" w:beforeAutospacing="1" w:after="100" w:afterAutospacing="1" w:line="240" w:lineRule="auto"/>
        <w:jc w:val="both"/>
        <w:rPr>
          <w:rFonts w:ascii="Comic Sans MS" w:eastAsia="Times New Roman" w:hAnsi="Comic Sans MS" w:cs="Times New Roman"/>
          <w:sz w:val="28"/>
          <w:szCs w:val="28"/>
          <w:lang w:eastAsia="es-ES"/>
        </w:rPr>
      </w:pPr>
      <w:hyperlink r:id="rId78" w:anchor="da" w:history="1">
        <w:r w:rsidRPr="00390764">
          <w:rPr>
            <w:rFonts w:ascii="Comic Sans MS" w:eastAsia="Times New Roman" w:hAnsi="Comic Sans MS" w:cs="Arial"/>
            <w:b/>
            <w:bCs/>
            <w:color w:val="800080"/>
            <w:sz w:val="28"/>
            <w:szCs w:val="28"/>
            <w:lang w:eastAsia="es-ES"/>
          </w:rPr>
          <w:t>[Disposiciones adicionales]</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79" w:anchor="da" w:history="1">
        <w:r w:rsidRPr="00390764">
          <w:rPr>
            <w:rFonts w:ascii="Comic Sans MS" w:eastAsia="Times New Roman" w:hAnsi="Comic Sans MS" w:cs="Arial"/>
            <w:color w:val="800080"/>
            <w:sz w:val="28"/>
            <w:szCs w:val="28"/>
            <w:u w:val="single"/>
            <w:lang w:eastAsia="es-ES"/>
          </w:rPr>
          <w:t>Disposición adicional primera. Habilitación de créditos presupuestarios.</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80" w:anchor="da-2" w:history="1">
        <w:r w:rsidRPr="00390764">
          <w:rPr>
            <w:rFonts w:ascii="Comic Sans MS" w:eastAsia="Times New Roman" w:hAnsi="Comic Sans MS" w:cs="Arial"/>
            <w:color w:val="800080"/>
            <w:sz w:val="28"/>
            <w:szCs w:val="28"/>
            <w:u w:val="single"/>
            <w:lang w:eastAsia="es-ES"/>
          </w:rPr>
          <w:t>Disposición adicional segunda. Créditos presupuestarios.</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81" w:anchor="da-3" w:history="1">
        <w:r w:rsidRPr="00390764">
          <w:rPr>
            <w:rFonts w:ascii="Comic Sans MS" w:eastAsia="Times New Roman" w:hAnsi="Comic Sans MS" w:cs="Arial"/>
            <w:color w:val="800080"/>
            <w:sz w:val="28"/>
            <w:szCs w:val="28"/>
            <w:u w:val="single"/>
            <w:lang w:eastAsia="es-ES"/>
          </w:rPr>
          <w:t>Disposición adicional tercera. Ejercicio de competencias de los órganos y unidades de las entidades gestoras y servicios comunes de la Seguridad Social.</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82" w:anchor="da-4" w:history="1">
        <w:r w:rsidRPr="00390764">
          <w:rPr>
            <w:rFonts w:ascii="Comic Sans MS" w:eastAsia="Times New Roman" w:hAnsi="Comic Sans MS" w:cs="Arial"/>
            <w:color w:val="800080"/>
            <w:sz w:val="28"/>
            <w:szCs w:val="28"/>
            <w:u w:val="single"/>
            <w:lang w:eastAsia="es-ES"/>
          </w:rPr>
          <w:t>Disposición adicional cuarta. Prórroga de la vigencia del documento nacional de identidad.</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83" w:anchor="da-5" w:history="1">
        <w:r w:rsidRPr="00390764">
          <w:rPr>
            <w:rFonts w:ascii="Comic Sans MS" w:eastAsia="Times New Roman" w:hAnsi="Comic Sans MS" w:cs="Arial"/>
            <w:color w:val="800080"/>
            <w:sz w:val="28"/>
            <w:szCs w:val="28"/>
            <w:u w:val="single"/>
            <w:lang w:eastAsia="es-ES"/>
          </w:rPr>
          <w:t>Disposición adicional quinta. Limitación a la aplicación del Real Decreto 307/2005, de 18 de marzo, por el que se regulan las subvenciones en atención a determinadas necesidades derivadas de situaciones de emergencia o de naturaleza catastrófica, y se establece el procedimiento para su concesión a los daños y perjuicios consecuencia de la actual crisis sanitaria.</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84" w:anchor="da-6" w:history="1">
        <w:r w:rsidRPr="00390764">
          <w:rPr>
            <w:rFonts w:ascii="Comic Sans MS" w:eastAsia="Times New Roman" w:hAnsi="Comic Sans MS" w:cs="Arial"/>
            <w:color w:val="800080"/>
            <w:sz w:val="28"/>
            <w:szCs w:val="28"/>
            <w:u w:val="single"/>
            <w:lang w:eastAsia="es-ES"/>
          </w:rPr>
          <w:t>Disposición adicional sexta. Salvaguarda del empleo.</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85" w:anchor="da-7" w:history="1">
        <w:r w:rsidRPr="00390764">
          <w:rPr>
            <w:rFonts w:ascii="Comic Sans MS" w:eastAsia="Times New Roman" w:hAnsi="Comic Sans MS" w:cs="Arial"/>
            <w:color w:val="800080"/>
            <w:sz w:val="28"/>
            <w:szCs w:val="28"/>
            <w:u w:val="single"/>
            <w:lang w:eastAsia="es-ES"/>
          </w:rPr>
          <w:t>Disposición adicional séptima. Autorización para el desarrollo de actividades de utilización confinada y liberación voluntaria con organismos modificados genéticamente.</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86" w:anchor="da-8" w:history="1">
        <w:r w:rsidRPr="00390764">
          <w:rPr>
            <w:rFonts w:ascii="Comic Sans MS" w:eastAsia="Times New Roman" w:hAnsi="Comic Sans MS" w:cs="Arial"/>
            <w:color w:val="800080"/>
            <w:sz w:val="28"/>
            <w:szCs w:val="28"/>
            <w:u w:val="single"/>
            <w:lang w:eastAsia="es-ES"/>
          </w:rPr>
          <w:t>Disposición adicional octava. Plan ACELERA.</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87" w:anchor="da-9" w:history="1">
        <w:r w:rsidRPr="00390764">
          <w:rPr>
            <w:rFonts w:ascii="Comic Sans MS" w:eastAsia="Times New Roman" w:hAnsi="Comic Sans MS" w:cs="Arial"/>
            <w:color w:val="800080"/>
            <w:sz w:val="28"/>
            <w:szCs w:val="28"/>
            <w:u w:val="single"/>
            <w:lang w:eastAsia="es-ES"/>
          </w:rPr>
          <w:t>Disposición adicional novena. No aplicación suspensión plazos administrativos del Real Decreto 463/2020.</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88" w:anchor="da-10" w:history="1">
        <w:r w:rsidRPr="00390764">
          <w:rPr>
            <w:rFonts w:ascii="Comic Sans MS" w:eastAsia="Times New Roman" w:hAnsi="Comic Sans MS" w:cs="Arial"/>
            <w:color w:val="800080"/>
            <w:sz w:val="28"/>
            <w:szCs w:val="28"/>
            <w:u w:val="single"/>
            <w:lang w:eastAsia="es-ES"/>
          </w:rPr>
          <w:t>Disposición adicional décima. Especialidades en aplicación del Capítulo II a las empresas concursadas.</w:t>
        </w:r>
      </w:hyperlink>
    </w:p>
    <w:p w:rsidR="00390764" w:rsidRPr="00390764" w:rsidRDefault="00390764" w:rsidP="00390764">
      <w:pPr>
        <w:spacing w:before="100" w:beforeAutospacing="1" w:after="100" w:afterAutospacing="1" w:line="240" w:lineRule="auto"/>
        <w:jc w:val="both"/>
        <w:rPr>
          <w:rFonts w:ascii="Comic Sans MS" w:eastAsia="Times New Roman" w:hAnsi="Comic Sans MS" w:cs="Times New Roman"/>
          <w:sz w:val="28"/>
          <w:szCs w:val="28"/>
          <w:lang w:eastAsia="es-ES"/>
        </w:rPr>
      </w:pPr>
      <w:hyperlink r:id="rId89" w:anchor="dt" w:history="1">
        <w:r w:rsidRPr="00390764">
          <w:rPr>
            <w:rFonts w:ascii="Comic Sans MS" w:eastAsia="Times New Roman" w:hAnsi="Comic Sans MS" w:cs="Arial"/>
            <w:b/>
            <w:bCs/>
            <w:color w:val="800080"/>
            <w:sz w:val="28"/>
            <w:szCs w:val="28"/>
            <w:lang w:eastAsia="es-ES"/>
          </w:rPr>
          <w:t>[Disposiciones transitorias]</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90" w:anchor="dt" w:history="1">
        <w:r w:rsidRPr="00390764">
          <w:rPr>
            <w:rFonts w:ascii="Comic Sans MS" w:eastAsia="Times New Roman" w:hAnsi="Comic Sans MS" w:cs="Arial"/>
            <w:color w:val="800080"/>
            <w:sz w:val="28"/>
            <w:szCs w:val="28"/>
            <w:u w:val="single"/>
            <w:lang w:eastAsia="es-ES"/>
          </w:rPr>
          <w:t>Disposición transitoria primera. Limitación a la aplicación a los expedientes de regulación de empleo.</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91" w:anchor="dt-2" w:history="1">
        <w:r w:rsidRPr="00390764">
          <w:rPr>
            <w:rFonts w:ascii="Comic Sans MS" w:eastAsia="Times New Roman" w:hAnsi="Comic Sans MS" w:cs="Arial"/>
            <w:color w:val="800080"/>
            <w:sz w:val="28"/>
            <w:szCs w:val="28"/>
            <w:u w:val="single"/>
            <w:lang w:eastAsia="es-ES"/>
          </w:rPr>
          <w:t>Disposición transitoria segunda. Comienzo de la moratoria.</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92" w:anchor="dt-3" w:history="1">
        <w:r w:rsidRPr="00390764">
          <w:rPr>
            <w:rFonts w:ascii="Comic Sans MS" w:eastAsia="Times New Roman" w:hAnsi="Comic Sans MS" w:cs="Arial"/>
            <w:color w:val="800080"/>
            <w:sz w:val="28"/>
            <w:szCs w:val="28"/>
            <w:u w:val="single"/>
            <w:lang w:eastAsia="es-ES"/>
          </w:rPr>
          <w:t>Disposición transitoria tercera. Aplicación de determinadas medidas del real decreto-ley.</w:t>
        </w:r>
      </w:hyperlink>
    </w:p>
    <w:p w:rsidR="00390764" w:rsidRPr="00390764" w:rsidRDefault="00390764" w:rsidP="00390764">
      <w:pPr>
        <w:spacing w:before="100" w:beforeAutospacing="1" w:after="100" w:afterAutospacing="1" w:line="240" w:lineRule="auto"/>
        <w:jc w:val="both"/>
        <w:rPr>
          <w:rFonts w:ascii="Comic Sans MS" w:eastAsia="Times New Roman" w:hAnsi="Comic Sans MS" w:cs="Times New Roman"/>
          <w:sz w:val="28"/>
          <w:szCs w:val="28"/>
          <w:lang w:eastAsia="es-ES"/>
        </w:rPr>
      </w:pPr>
      <w:hyperlink r:id="rId93" w:anchor="df" w:history="1">
        <w:r w:rsidRPr="00390764">
          <w:rPr>
            <w:rFonts w:ascii="Comic Sans MS" w:eastAsia="Times New Roman" w:hAnsi="Comic Sans MS" w:cs="Arial"/>
            <w:b/>
            <w:bCs/>
            <w:color w:val="800080"/>
            <w:sz w:val="28"/>
            <w:szCs w:val="28"/>
            <w:lang w:eastAsia="es-ES"/>
          </w:rPr>
          <w:t>[Disposiciones finales]</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94" w:anchor="df" w:history="1">
        <w:r w:rsidRPr="00390764">
          <w:rPr>
            <w:rFonts w:ascii="Comic Sans MS" w:eastAsia="Times New Roman" w:hAnsi="Comic Sans MS" w:cs="Arial"/>
            <w:color w:val="800080"/>
            <w:sz w:val="28"/>
            <w:szCs w:val="28"/>
            <w:u w:val="single"/>
            <w:lang w:eastAsia="es-ES"/>
          </w:rPr>
          <w:t>Disposición final primera. Modificación del texto refundido de la Ley del Impuesto sobre Transmisiones Patrimoniales y Actos Jurídicos Documentados, aprobado por el Real Decreto Legislativo 1/1993, de 24 de septiembre.</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95" w:anchor="df-2" w:history="1">
        <w:r w:rsidRPr="00390764">
          <w:rPr>
            <w:rFonts w:ascii="Comic Sans MS" w:eastAsia="Times New Roman" w:hAnsi="Comic Sans MS" w:cs="Arial"/>
            <w:color w:val="800080"/>
            <w:sz w:val="28"/>
            <w:szCs w:val="28"/>
            <w:u w:val="single"/>
            <w:lang w:eastAsia="es-ES"/>
          </w:rPr>
          <w:t>Disposición final segunda. Modificación de la Ley 11/2002, de 6 de mayo, reguladora del Centro Nacional de Inteligencia.</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96" w:anchor="df-3" w:history="1">
        <w:r w:rsidRPr="00390764">
          <w:rPr>
            <w:rFonts w:ascii="Comic Sans MS" w:eastAsia="Times New Roman" w:hAnsi="Comic Sans MS" w:cs="Arial"/>
            <w:color w:val="800080"/>
            <w:sz w:val="28"/>
            <w:szCs w:val="28"/>
            <w:u w:val="single"/>
            <w:lang w:eastAsia="es-ES"/>
          </w:rPr>
          <w:t>Disposición final tercera. Modificación de la Ley 14/2011, de 1 de junio, de la Ciencia, la Tecnología y la Innovación.</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97" w:anchor="df-4" w:history="1">
        <w:r w:rsidRPr="00390764">
          <w:rPr>
            <w:rFonts w:ascii="Comic Sans MS" w:eastAsia="Times New Roman" w:hAnsi="Comic Sans MS" w:cs="Arial"/>
            <w:color w:val="800080"/>
            <w:sz w:val="28"/>
            <w:szCs w:val="28"/>
            <w:u w:val="single"/>
            <w:lang w:eastAsia="es-ES"/>
          </w:rPr>
          <w:t>Disposición final cuarta. Modificación de la Ley 19/2003, de 4 de julio, sobre régimen jurídico de los movimientos de capitales y de las transacciones económicas con el exterior.</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98" w:anchor="df-5" w:history="1">
        <w:r w:rsidRPr="00390764">
          <w:rPr>
            <w:rFonts w:ascii="Comic Sans MS" w:eastAsia="Times New Roman" w:hAnsi="Comic Sans MS" w:cs="Arial"/>
            <w:color w:val="800080"/>
            <w:sz w:val="28"/>
            <w:szCs w:val="28"/>
            <w:u w:val="single"/>
            <w:lang w:eastAsia="es-ES"/>
          </w:rPr>
          <w:t>Disposición final quinta. Modificación de la Ley 6/2018, de 3 de julio, de Presupuestos Generales del Estado para el año 2018.</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99" w:anchor="df-6" w:history="1">
        <w:r w:rsidRPr="00390764">
          <w:rPr>
            <w:rFonts w:ascii="Comic Sans MS" w:eastAsia="Times New Roman" w:hAnsi="Comic Sans MS" w:cs="Arial"/>
            <w:color w:val="800080"/>
            <w:sz w:val="28"/>
            <w:szCs w:val="28"/>
            <w:u w:val="single"/>
            <w:lang w:eastAsia="es-ES"/>
          </w:rPr>
          <w:t>Disposición final sexta. Modificación del artículo 16 del Real Decreto-ley 7/2020, de 12 de marzo, por el que se adoptan medidas urgentes para responder al impacto económico del COVID-19.</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100" w:anchor="df-7" w:history="1">
        <w:r w:rsidRPr="00390764">
          <w:rPr>
            <w:rFonts w:ascii="Comic Sans MS" w:eastAsia="Times New Roman" w:hAnsi="Comic Sans MS" w:cs="Arial"/>
            <w:color w:val="800080"/>
            <w:sz w:val="28"/>
            <w:szCs w:val="28"/>
            <w:u w:val="single"/>
            <w:lang w:eastAsia="es-ES"/>
          </w:rPr>
          <w:t>Disposición final séptima. Desarrollo reglamentario y ejecución.</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101" w:anchor="df-8" w:history="1">
        <w:r w:rsidRPr="00390764">
          <w:rPr>
            <w:rFonts w:ascii="Comic Sans MS" w:eastAsia="Times New Roman" w:hAnsi="Comic Sans MS" w:cs="Arial"/>
            <w:color w:val="800080"/>
            <w:sz w:val="28"/>
            <w:szCs w:val="28"/>
            <w:u w:val="single"/>
            <w:lang w:eastAsia="es-ES"/>
          </w:rPr>
          <w:t>Disposición final octava. Título competencial.</w:t>
        </w:r>
      </w:hyperlink>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102" w:anchor="df-9" w:history="1">
        <w:r w:rsidRPr="00390764">
          <w:rPr>
            <w:rFonts w:ascii="Comic Sans MS" w:eastAsia="Times New Roman" w:hAnsi="Comic Sans MS" w:cs="Arial"/>
            <w:color w:val="800080"/>
            <w:sz w:val="28"/>
            <w:szCs w:val="28"/>
            <w:u w:val="single"/>
            <w:lang w:eastAsia="es-ES"/>
          </w:rPr>
          <w:t>Disposición final novena. Entrada en vigor.</w:t>
        </w:r>
      </w:hyperlink>
    </w:p>
    <w:p w:rsidR="00390764" w:rsidRDefault="00390764" w:rsidP="00390764">
      <w:pPr>
        <w:spacing w:after="100" w:line="240" w:lineRule="auto"/>
        <w:jc w:val="both"/>
        <w:rPr>
          <w:rFonts w:ascii="Comic Sans MS" w:eastAsia="Times New Roman" w:hAnsi="Comic Sans MS" w:cs="Arial"/>
          <w:color w:val="000000"/>
          <w:sz w:val="28"/>
          <w:szCs w:val="28"/>
          <w:lang w:eastAsia="es-ES"/>
        </w:rPr>
      </w:pPr>
      <w:hyperlink r:id="rId103" w:anchor="df-10" w:history="1">
        <w:r w:rsidRPr="00390764">
          <w:rPr>
            <w:rFonts w:ascii="Comic Sans MS" w:eastAsia="Times New Roman" w:hAnsi="Comic Sans MS" w:cs="Arial"/>
            <w:color w:val="800080"/>
            <w:sz w:val="28"/>
            <w:szCs w:val="28"/>
            <w:u w:val="single"/>
            <w:lang w:eastAsia="es-ES"/>
          </w:rPr>
          <w:t>Disposición final décima. Vigencia.</w:t>
        </w:r>
      </w:hyperlink>
    </w:p>
    <w:p w:rsidR="00390764" w:rsidRPr="00390764" w:rsidRDefault="00390764" w:rsidP="00390764">
      <w:pPr>
        <w:pStyle w:val="Ttulo4"/>
        <w:spacing w:before="720" w:after="240"/>
        <w:ind w:left="960" w:right="960"/>
        <w:jc w:val="center"/>
        <w:rPr>
          <w:rFonts w:ascii="Verdana" w:eastAsia="Times New Roman" w:hAnsi="Verdana" w:cs="Times New Roman"/>
          <w:b/>
          <w:bCs/>
          <w:i w:val="0"/>
          <w:iCs w:val="0"/>
          <w:color w:val="000000"/>
          <w:sz w:val="24"/>
          <w:szCs w:val="24"/>
          <w:lang w:eastAsia="es-ES"/>
        </w:rPr>
      </w:pPr>
      <w:r>
        <w:rPr>
          <w:rFonts w:ascii="Verdana" w:eastAsia="Times New Roman" w:hAnsi="Verdana" w:cs="Times New Roman"/>
          <w:b/>
          <w:bCs/>
          <w:i w:val="0"/>
          <w:iCs w:val="0"/>
          <w:color w:val="000000"/>
          <w:sz w:val="24"/>
          <w:szCs w:val="24"/>
          <w:lang w:eastAsia="es-ES"/>
        </w:rPr>
        <w:t>A</w:t>
      </w:r>
      <w:r w:rsidRPr="00390764">
        <w:rPr>
          <w:rFonts w:ascii="Verdana" w:eastAsia="Times New Roman" w:hAnsi="Verdana" w:cs="Times New Roman"/>
          <w:b/>
          <w:bCs/>
          <w:i w:val="0"/>
          <w:iCs w:val="0"/>
          <w:color w:val="000000"/>
          <w:sz w:val="24"/>
          <w:szCs w:val="24"/>
          <w:lang w:eastAsia="es-ES"/>
        </w:rPr>
        <w:t>NEXO</w:t>
      </w:r>
      <w:r>
        <w:rPr>
          <w:rFonts w:ascii="Verdana" w:eastAsia="Times New Roman" w:hAnsi="Verdana" w:cs="Times New Roman"/>
          <w:b/>
          <w:bCs/>
          <w:i w:val="0"/>
          <w:iCs w:val="0"/>
          <w:color w:val="000000"/>
          <w:sz w:val="24"/>
          <w:szCs w:val="24"/>
          <w:lang w:eastAsia="es-ES"/>
        </w:rPr>
        <w:t xml:space="preserve"> PLAN ACELERA</w:t>
      </w:r>
    </w:p>
    <w:p w:rsidR="00390764" w:rsidRPr="00390764" w:rsidRDefault="00390764" w:rsidP="00390764">
      <w:pPr>
        <w:spacing w:before="360" w:after="180" w:line="240" w:lineRule="auto"/>
        <w:ind w:firstLine="360"/>
        <w:jc w:val="both"/>
        <w:rPr>
          <w:rFonts w:ascii="Comic Sans MS" w:eastAsia="Times New Roman" w:hAnsi="Comic Sans MS" w:cs="Times New Roman"/>
          <w:color w:val="000000"/>
          <w:sz w:val="28"/>
          <w:szCs w:val="28"/>
          <w:lang w:eastAsia="es-ES"/>
        </w:rPr>
      </w:pPr>
      <w:r w:rsidRPr="00390764">
        <w:rPr>
          <w:rFonts w:ascii="Comic Sans MS" w:eastAsia="Times New Roman" w:hAnsi="Comic Sans MS" w:cs="Times New Roman"/>
          <w:color w:val="000000"/>
          <w:sz w:val="28"/>
          <w:szCs w:val="28"/>
          <w:lang w:eastAsia="es-ES"/>
        </w:rPr>
        <w:t>1. Medidas de apoyo para acelerar el proceso de digitalización de las pymes desde el asesoramiento y la formación.</w:t>
      </w:r>
    </w:p>
    <w:p w:rsidR="00390764" w:rsidRPr="00390764" w:rsidRDefault="00390764" w:rsidP="00390764">
      <w:pPr>
        <w:spacing w:before="360" w:after="180" w:line="240" w:lineRule="auto"/>
        <w:ind w:firstLine="360"/>
        <w:jc w:val="both"/>
        <w:rPr>
          <w:rFonts w:ascii="Comic Sans MS" w:eastAsia="Times New Roman" w:hAnsi="Comic Sans MS" w:cs="Times New Roman"/>
          <w:color w:val="000000"/>
          <w:sz w:val="28"/>
          <w:szCs w:val="28"/>
          <w:lang w:eastAsia="es-ES"/>
        </w:rPr>
      </w:pPr>
      <w:r w:rsidRPr="00390764">
        <w:rPr>
          <w:rFonts w:ascii="Comic Sans MS" w:eastAsia="Times New Roman" w:hAnsi="Comic Sans MS" w:cs="Times New Roman"/>
          <w:color w:val="000000"/>
          <w:sz w:val="28"/>
          <w:szCs w:val="28"/>
          <w:lang w:eastAsia="es-ES"/>
        </w:rPr>
        <w:t>El Ministerio de Asuntos Económicos y Transformación Digital a través de la entidad Red.es, pondrá en marcha un conjunto de iniciativas en colaboración con el sector privado de apoyo a las PYME en el corto y medio plazo. En concreto:</w:t>
      </w:r>
    </w:p>
    <w:p w:rsidR="00390764" w:rsidRPr="00390764" w:rsidRDefault="00390764" w:rsidP="00390764">
      <w:pPr>
        <w:spacing w:before="360" w:after="180" w:line="240" w:lineRule="auto"/>
        <w:ind w:firstLine="360"/>
        <w:jc w:val="both"/>
        <w:rPr>
          <w:rFonts w:ascii="Comic Sans MS" w:eastAsia="Times New Roman" w:hAnsi="Comic Sans MS" w:cs="Times New Roman"/>
          <w:color w:val="000000"/>
          <w:sz w:val="28"/>
          <w:szCs w:val="28"/>
          <w:lang w:eastAsia="es-ES"/>
        </w:rPr>
      </w:pPr>
      <w:r w:rsidRPr="00390764">
        <w:rPr>
          <w:rFonts w:ascii="Comic Sans MS" w:eastAsia="Times New Roman" w:hAnsi="Comic Sans MS" w:cs="Times New Roman"/>
          <w:color w:val="000000"/>
          <w:sz w:val="28"/>
          <w:szCs w:val="28"/>
          <w:lang w:eastAsia="es-ES"/>
        </w:rPr>
        <w:t>– La creación del portal Acelera PYME desde Red.es para que las PYME se puedan informar de todos los recursos que se pongan a disposición de las PYME para su digitalización y en concreto para aplicar soluciones de teletrabajo.</w:t>
      </w:r>
    </w:p>
    <w:p w:rsidR="00390764" w:rsidRPr="00390764" w:rsidRDefault="00390764" w:rsidP="00390764">
      <w:pPr>
        <w:spacing w:before="180" w:after="180" w:line="240" w:lineRule="auto"/>
        <w:ind w:firstLine="360"/>
        <w:jc w:val="both"/>
        <w:rPr>
          <w:rFonts w:ascii="Comic Sans MS" w:eastAsia="Times New Roman" w:hAnsi="Comic Sans MS" w:cs="Times New Roman"/>
          <w:color w:val="000000"/>
          <w:sz w:val="28"/>
          <w:szCs w:val="28"/>
          <w:lang w:eastAsia="es-ES"/>
        </w:rPr>
      </w:pPr>
      <w:r w:rsidRPr="00390764">
        <w:rPr>
          <w:rFonts w:ascii="Comic Sans MS" w:eastAsia="Times New Roman" w:hAnsi="Comic Sans MS" w:cs="Times New Roman"/>
          <w:color w:val="000000"/>
          <w:sz w:val="28"/>
          <w:szCs w:val="28"/>
          <w:lang w:eastAsia="es-ES"/>
        </w:rPr>
        <w:t xml:space="preserve">– Ampliación de sedes del programa de Oficinas de Transformación </w:t>
      </w:r>
      <w:r w:rsidRPr="00390764">
        <w:rPr>
          <w:rFonts w:ascii="Comic Sans MS" w:eastAsia="Times New Roman" w:hAnsi="Comic Sans MS" w:cs="Times New Roman"/>
          <w:color w:val="000000"/>
          <w:sz w:val="28"/>
          <w:szCs w:val="28"/>
          <w:lang w:eastAsia="es-ES"/>
        </w:rPr>
        <w:t>Digital,</w:t>
      </w:r>
      <w:r w:rsidRPr="00390764">
        <w:rPr>
          <w:rFonts w:ascii="Comic Sans MS" w:eastAsia="Times New Roman" w:hAnsi="Comic Sans MS" w:cs="Times New Roman"/>
          <w:color w:val="000000"/>
          <w:sz w:val="28"/>
          <w:szCs w:val="28"/>
          <w:lang w:eastAsia="es-ES"/>
        </w:rPr>
        <w:t xml:space="preserve"> así como mejorar los servicios de asesoramiento personalizado a las PYMES y acompañamiento en su esfuerzo de digitalización y puesta en marcha de centros demostradores de soluciones sectoriales, para alcanzar un total de 100 oficinas en 2 años, multiplicando por 3 el número actual de sedes en funcionamiento, 28 por todo el territorio. Las oficinas se pondrán en marcha en colaboración con las Cámaras de Comercio y otros agentes públicos y privados.</w:t>
      </w:r>
    </w:p>
    <w:p w:rsidR="00390764" w:rsidRPr="00390764" w:rsidRDefault="00390764" w:rsidP="00390764">
      <w:pPr>
        <w:spacing w:before="180" w:after="180" w:line="240" w:lineRule="auto"/>
        <w:ind w:firstLine="360"/>
        <w:jc w:val="both"/>
        <w:rPr>
          <w:rFonts w:ascii="Comic Sans MS" w:eastAsia="Times New Roman" w:hAnsi="Comic Sans MS" w:cs="Times New Roman"/>
          <w:color w:val="000000"/>
          <w:sz w:val="28"/>
          <w:szCs w:val="28"/>
          <w:lang w:eastAsia="es-ES"/>
        </w:rPr>
      </w:pPr>
      <w:r w:rsidRPr="00390764">
        <w:rPr>
          <w:rFonts w:ascii="Comic Sans MS" w:eastAsia="Times New Roman" w:hAnsi="Comic Sans MS" w:cs="Times New Roman"/>
          <w:color w:val="000000"/>
          <w:sz w:val="28"/>
          <w:szCs w:val="28"/>
          <w:lang w:eastAsia="es-ES"/>
        </w:rPr>
        <w:t>– Lanzamiento del programa Acelera PYME-Talento para reforzar la formación de las pymes en soluciones y herramientas para la digitalización en colaboración con las Cámaras de Comercio y otros agentes públicos y privados.</w:t>
      </w:r>
    </w:p>
    <w:p w:rsidR="00390764" w:rsidRPr="00390764" w:rsidRDefault="00390764" w:rsidP="00390764">
      <w:pPr>
        <w:spacing w:before="360" w:after="180" w:line="240" w:lineRule="auto"/>
        <w:ind w:firstLine="360"/>
        <w:jc w:val="both"/>
        <w:rPr>
          <w:rFonts w:ascii="Comic Sans MS" w:eastAsia="Times New Roman" w:hAnsi="Comic Sans MS" w:cs="Times New Roman"/>
          <w:color w:val="000000"/>
          <w:sz w:val="28"/>
          <w:szCs w:val="28"/>
          <w:lang w:eastAsia="es-ES"/>
        </w:rPr>
      </w:pPr>
      <w:r w:rsidRPr="00390764">
        <w:rPr>
          <w:rFonts w:ascii="Comic Sans MS" w:eastAsia="Times New Roman" w:hAnsi="Comic Sans MS" w:cs="Times New Roman"/>
          <w:color w:val="000000"/>
          <w:sz w:val="28"/>
          <w:szCs w:val="28"/>
          <w:lang w:eastAsia="es-ES"/>
        </w:rPr>
        <w:t>2. Medidas de apoyo a creación de soluciones tecnológicas para la digitalización de las pymes.</w:t>
      </w:r>
    </w:p>
    <w:p w:rsidR="00390764" w:rsidRPr="00390764" w:rsidRDefault="00390764" w:rsidP="00390764">
      <w:pPr>
        <w:spacing w:before="360" w:after="180" w:line="240" w:lineRule="auto"/>
        <w:ind w:firstLine="360"/>
        <w:jc w:val="both"/>
        <w:rPr>
          <w:rFonts w:ascii="Comic Sans MS" w:eastAsia="Times New Roman" w:hAnsi="Comic Sans MS" w:cs="Times New Roman"/>
          <w:color w:val="000000"/>
          <w:sz w:val="28"/>
          <w:szCs w:val="28"/>
          <w:lang w:eastAsia="es-ES"/>
        </w:rPr>
      </w:pPr>
      <w:r w:rsidRPr="00390764">
        <w:rPr>
          <w:rFonts w:ascii="Comic Sans MS" w:eastAsia="Times New Roman" w:hAnsi="Comic Sans MS" w:cs="Times New Roman"/>
          <w:color w:val="000000"/>
          <w:sz w:val="28"/>
          <w:szCs w:val="28"/>
          <w:lang w:eastAsia="es-ES"/>
        </w:rPr>
        <w:t>Desde Red.es se pondrá en marcha una línea de ayudas que impulse el liderazgo empresarial en I+D+i de las empresas digitales españolas. El objetivo es apoyar para la generación de soluciones, conocimientos, tecnologías e innovaciones destinadas a la mejora de procesos de digitalización y la creación de productos y servicios tecnológicamente avanzados y de mayor valor añadido que reviertan en el conjunto de las pymes.</w:t>
      </w:r>
    </w:p>
    <w:p w:rsidR="00390764" w:rsidRPr="00390764" w:rsidRDefault="00390764" w:rsidP="00390764">
      <w:pPr>
        <w:spacing w:before="360" w:after="180" w:line="240" w:lineRule="auto"/>
        <w:ind w:firstLine="360"/>
        <w:jc w:val="both"/>
        <w:rPr>
          <w:rFonts w:ascii="Comic Sans MS" w:eastAsia="Times New Roman" w:hAnsi="Comic Sans MS" w:cs="Times New Roman"/>
          <w:color w:val="000000"/>
          <w:sz w:val="28"/>
          <w:szCs w:val="28"/>
          <w:lang w:eastAsia="es-ES"/>
        </w:rPr>
      </w:pPr>
      <w:r w:rsidRPr="00390764">
        <w:rPr>
          <w:rFonts w:ascii="Comic Sans MS" w:eastAsia="Times New Roman" w:hAnsi="Comic Sans MS" w:cs="Times New Roman"/>
          <w:color w:val="000000"/>
          <w:sz w:val="28"/>
          <w:szCs w:val="28"/>
          <w:lang w:eastAsia="es-ES"/>
        </w:rPr>
        <w:t>3. Medidas de apoyo financiero para la digitalización de las pymes.</w:t>
      </w:r>
    </w:p>
    <w:p w:rsidR="00390764" w:rsidRPr="00390764" w:rsidRDefault="00390764" w:rsidP="00390764">
      <w:pPr>
        <w:spacing w:before="360" w:after="180" w:line="240" w:lineRule="auto"/>
        <w:ind w:firstLine="360"/>
        <w:jc w:val="both"/>
        <w:rPr>
          <w:rFonts w:ascii="Comic Sans MS" w:eastAsia="Times New Roman" w:hAnsi="Comic Sans MS" w:cs="Times New Roman"/>
          <w:color w:val="000000"/>
          <w:sz w:val="28"/>
          <w:szCs w:val="28"/>
          <w:lang w:eastAsia="es-ES"/>
        </w:rPr>
      </w:pPr>
      <w:r w:rsidRPr="00390764">
        <w:rPr>
          <w:rFonts w:ascii="Comic Sans MS" w:eastAsia="Times New Roman" w:hAnsi="Comic Sans MS" w:cs="Times New Roman"/>
          <w:color w:val="000000"/>
          <w:sz w:val="28"/>
          <w:szCs w:val="28"/>
          <w:lang w:eastAsia="es-ES"/>
        </w:rPr>
        <w:t>El Estado apoyará financieramente, mediante la financiación del Instituto de Crédito Oficial ICO para las PYMES la compra y leasing de equipamiento y servicios para la digitalización de la PYME y las soluciones de teletrabajo, movilizando en los próximos dos años más de 200 millones de euros.</w:t>
      </w: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p>
    <w:p w:rsidR="00390764" w:rsidRPr="00390764" w:rsidRDefault="00390764" w:rsidP="00390764">
      <w:pPr>
        <w:spacing w:after="100" w:line="240" w:lineRule="auto"/>
        <w:jc w:val="both"/>
        <w:rPr>
          <w:rFonts w:ascii="Comic Sans MS" w:eastAsia="Times New Roman" w:hAnsi="Comic Sans MS" w:cs="Arial"/>
          <w:color w:val="000000"/>
          <w:sz w:val="28"/>
          <w:szCs w:val="28"/>
          <w:lang w:eastAsia="es-ES"/>
        </w:rPr>
      </w:pPr>
      <w:r w:rsidRPr="00390764">
        <w:rPr>
          <w:rFonts w:ascii="Comic Sans MS" w:eastAsia="Times New Roman" w:hAnsi="Comic Sans MS" w:cs="Arial"/>
          <w:color w:val="000000"/>
          <w:sz w:val="28"/>
          <w:szCs w:val="28"/>
          <w:lang w:eastAsia="es-ES"/>
        </w:rPr>
        <w:t> </w:t>
      </w:r>
    </w:p>
    <w:p w:rsidR="00390764" w:rsidRPr="00390764" w:rsidRDefault="00390764" w:rsidP="00390764">
      <w:pPr>
        <w:jc w:val="both"/>
        <w:rPr>
          <w:rFonts w:ascii="Comic Sans MS" w:hAnsi="Comic Sans MS"/>
          <w:sz w:val="28"/>
          <w:szCs w:val="28"/>
        </w:rPr>
      </w:pPr>
    </w:p>
    <w:sectPr w:rsidR="00390764" w:rsidRPr="003907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64"/>
    <w:rsid w:val="00390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5404"/>
  <w15:chartTrackingRefBased/>
  <w15:docId w15:val="{9E34C3BA-92A0-4357-884A-ED7AE3D3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3907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39076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51296">
      <w:bodyDiv w:val="1"/>
      <w:marLeft w:val="0"/>
      <w:marRight w:val="0"/>
      <w:marTop w:val="0"/>
      <w:marBottom w:val="0"/>
      <w:divBdr>
        <w:top w:val="none" w:sz="0" w:space="0" w:color="auto"/>
        <w:left w:val="none" w:sz="0" w:space="0" w:color="auto"/>
        <w:bottom w:val="none" w:sz="0" w:space="0" w:color="auto"/>
        <w:right w:val="none" w:sz="0" w:space="0" w:color="auto"/>
      </w:divBdr>
    </w:div>
    <w:div w:id="59691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oe.es/buscar/act.php?id=BOE-A-2020-3824&amp;p=20200429&amp;tn=1" TargetMode="External"/><Relationship Id="rId21" Type="http://schemas.openxmlformats.org/officeDocument/2006/relationships/hyperlink" Target="https://www.boe.es/buscar/act.php?id=BOE-A-2020-3824&amp;p=20200429&amp;tn=1" TargetMode="External"/><Relationship Id="rId42" Type="http://schemas.openxmlformats.org/officeDocument/2006/relationships/hyperlink" Target="https://www.boe.es/buscar/act.php?id=BOE-A-2020-3824&amp;p=20200429&amp;tn=1" TargetMode="External"/><Relationship Id="rId47" Type="http://schemas.openxmlformats.org/officeDocument/2006/relationships/hyperlink" Target="https://www.boe.es/buscar/act.php?id=BOE-A-2020-3824&amp;p=20200429&amp;tn=1" TargetMode="External"/><Relationship Id="rId63" Type="http://schemas.openxmlformats.org/officeDocument/2006/relationships/hyperlink" Target="https://www.boe.es/buscar/act.php?id=BOE-A-2020-3824&amp;p=20200429&amp;tn=1" TargetMode="External"/><Relationship Id="rId68" Type="http://schemas.openxmlformats.org/officeDocument/2006/relationships/hyperlink" Target="https://www.boe.es/buscar/act.php?id=BOE-A-2020-3824&amp;p=20200429&amp;tn=1" TargetMode="External"/><Relationship Id="rId84" Type="http://schemas.openxmlformats.org/officeDocument/2006/relationships/hyperlink" Target="https://www.boe.es/buscar/act.php?id=BOE-A-2020-3824&amp;p=20200429&amp;tn=1" TargetMode="External"/><Relationship Id="rId89" Type="http://schemas.openxmlformats.org/officeDocument/2006/relationships/hyperlink" Target="https://www.boe.es/buscar/act.php?id=BOE-A-2020-3824&amp;p=20200429&amp;tn=1" TargetMode="External"/><Relationship Id="rId16" Type="http://schemas.openxmlformats.org/officeDocument/2006/relationships/hyperlink" Target="https://www.boe.es/buscar/act.php?id=BOE-A-2020-3824&amp;p=20200429&amp;tn=1" TargetMode="External"/><Relationship Id="rId11" Type="http://schemas.openxmlformats.org/officeDocument/2006/relationships/hyperlink" Target="https://www.boe.es/buscar/act.php?id=BOE-A-2020-3824" TargetMode="External"/><Relationship Id="rId32" Type="http://schemas.openxmlformats.org/officeDocument/2006/relationships/hyperlink" Target="https://www.boe.es/buscar/act.php?id=BOE-A-2020-3824&amp;p=20200429&amp;tn=1" TargetMode="External"/><Relationship Id="rId37" Type="http://schemas.openxmlformats.org/officeDocument/2006/relationships/hyperlink" Target="https://www.boe.es/buscar/act.php?id=BOE-A-2020-3824&amp;p=20200429&amp;tn=1" TargetMode="External"/><Relationship Id="rId53" Type="http://schemas.openxmlformats.org/officeDocument/2006/relationships/hyperlink" Target="https://www.boe.es/buscar/act.php?id=BOE-A-2020-3824&amp;p=20200429&amp;tn=1" TargetMode="External"/><Relationship Id="rId58" Type="http://schemas.openxmlformats.org/officeDocument/2006/relationships/hyperlink" Target="https://www.boe.es/buscar/act.php?id=BOE-A-2020-3824&amp;p=20200429&amp;tn=1" TargetMode="External"/><Relationship Id="rId74" Type="http://schemas.openxmlformats.org/officeDocument/2006/relationships/hyperlink" Target="https://www.boe.es/buscar/act.php?id=BOE-A-2020-3824&amp;p=20200429&amp;tn=1" TargetMode="External"/><Relationship Id="rId79" Type="http://schemas.openxmlformats.org/officeDocument/2006/relationships/hyperlink" Target="https://www.boe.es/buscar/act.php?id=BOE-A-2020-3824&amp;p=20200429&amp;tn=1" TargetMode="External"/><Relationship Id="rId102" Type="http://schemas.openxmlformats.org/officeDocument/2006/relationships/hyperlink" Target="https://www.boe.es/buscar/act.php?id=BOE-A-2020-3824&amp;p=20200429&amp;tn=1" TargetMode="External"/><Relationship Id="rId5" Type="http://schemas.openxmlformats.org/officeDocument/2006/relationships/hyperlink" Target="https://www.boe.es/buscar/act.php?id=BOE-A-2020-4208" TargetMode="External"/><Relationship Id="rId90" Type="http://schemas.openxmlformats.org/officeDocument/2006/relationships/hyperlink" Target="https://www.boe.es/buscar/act.php?id=BOE-A-2020-3824&amp;p=20200429&amp;tn=1" TargetMode="External"/><Relationship Id="rId95" Type="http://schemas.openxmlformats.org/officeDocument/2006/relationships/hyperlink" Target="https://www.boe.es/buscar/act.php?id=BOE-A-2020-3824&amp;p=20200429&amp;tn=1" TargetMode="External"/><Relationship Id="rId22" Type="http://schemas.openxmlformats.org/officeDocument/2006/relationships/hyperlink" Target="https://www.boe.es/buscar/act.php?id=BOE-A-2020-3824&amp;p=20200429&amp;tn=1" TargetMode="External"/><Relationship Id="rId27" Type="http://schemas.openxmlformats.org/officeDocument/2006/relationships/hyperlink" Target="https://www.boe.es/buscar/act.php?id=BOE-A-2020-3824&amp;p=20200429&amp;tn=1" TargetMode="External"/><Relationship Id="rId43" Type="http://schemas.openxmlformats.org/officeDocument/2006/relationships/hyperlink" Target="https://www.boe.es/buscar/act.php?id=BOE-A-2020-3824&amp;p=20200429&amp;tn=1" TargetMode="External"/><Relationship Id="rId48" Type="http://schemas.openxmlformats.org/officeDocument/2006/relationships/hyperlink" Target="https://www.boe.es/buscar/act.php?id=BOE-A-2020-3824&amp;p=20200429&amp;tn=1" TargetMode="External"/><Relationship Id="rId64" Type="http://schemas.openxmlformats.org/officeDocument/2006/relationships/hyperlink" Target="https://www.boe.es/buscar/act.php?id=BOE-A-2020-3824&amp;p=20200429&amp;tn=1" TargetMode="External"/><Relationship Id="rId69" Type="http://schemas.openxmlformats.org/officeDocument/2006/relationships/hyperlink" Target="https://www.boe.es/buscar/act.php?id=BOE-A-2020-3824&amp;p=20200429&amp;tn=1" TargetMode="External"/><Relationship Id="rId80" Type="http://schemas.openxmlformats.org/officeDocument/2006/relationships/hyperlink" Target="https://www.boe.es/buscar/act.php?id=BOE-A-2020-3824&amp;p=20200429&amp;tn=1" TargetMode="External"/><Relationship Id="rId85" Type="http://schemas.openxmlformats.org/officeDocument/2006/relationships/hyperlink" Target="https://www.boe.es/buscar/act.php?id=BOE-A-2020-3824&amp;p=20200429&amp;tn=1" TargetMode="External"/><Relationship Id="rId12" Type="http://schemas.openxmlformats.org/officeDocument/2006/relationships/hyperlink" Target="https://www.boe.es/buscar/act.php?id=BOE-A-2015-11724" TargetMode="External"/><Relationship Id="rId17" Type="http://schemas.openxmlformats.org/officeDocument/2006/relationships/hyperlink" Target="https://www.boe.es/buscar/act.php?id=BOE-A-2020-3824&amp;p=20200429&amp;tn=1" TargetMode="External"/><Relationship Id="rId33" Type="http://schemas.openxmlformats.org/officeDocument/2006/relationships/hyperlink" Target="https://www.boe.es/buscar/act.php?id=BOE-A-2020-3824&amp;p=20200429&amp;tn=1" TargetMode="External"/><Relationship Id="rId38" Type="http://schemas.openxmlformats.org/officeDocument/2006/relationships/hyperlink" Target="https://www.boe.es/buscar/act.php?id=BOE-A-2020-3824&amp;p=20200429&amp;tn=1" TargetMode="External"/><Relationship Id="rId59" Type="http://schemas.openxmlformats.org/officeDocument/2006/relationships/hyperlink" Target="https://www.boe.es/buscar/act.php?id=BOE-A-2020-3824&amp;p=20200429&amp;tn=1" TargetMode="External"/><Relationship Id="rId103" Type="http://schemas.openxmlformats.org/officeDocument/2006/relationships/hyperlink" Target="https://www.boe.es/buscar/act.php?id=BOE-A-2020-3824&amp;p=20200429&amp;tn=1" TargetMode="External"/><Relationship Id="rId20" Type="http://schemas.openxmlformats.org/officeDocument/2006/relationships/hyperlink" Target="https://www.boe.es/buscar/act.php?id=BOE-A-2020-3824&amp;p=20200429&amp;tn=1" TargetMode="External"/><Relationship Id="rId41" Type="http://schemas.openxmlformats.org/officeDocument/2006/relationships/hyperlink" Target="https://www.boe.es/buscar/act.php?id=BOE-A-2020-3824&amp;p=20200429&amp;tn=1" TargetMode="External"/><Relationship Id="rId54" Type="http://schemas.openxmlformats.org/officeDocument/2006/relationships/hyperlink" Target="https://www.boe.es/buscar/act.php?id=BOE-A-2020-3824&amp;p=20200429&amp;tn=1" TargetMode="External"/><Relationship Id="rId62" Type="http://schemas.openxmlformats.org/officeDocument/2006/relationships/hyperlink" Target="https://www.boe.es/buscar/act.php?id=BOE-A-2020-3824&amp;p=20200429&amp;tn=1" TargetMode="External"/><Relationship Id="rId70" Type="http://schemas.openxmlformats.org/officeDocument/2006/relationships/hyperlink" Target="https://www.boe.es/buscar/act.php?id=BOE-A-2020-3824&amp;p=20200429&amp;tn=1" TargetMode="External"/><Relationship Id="rId75" Type="http://schemas.openxmlformats.org/officeDocument/2006/relationships/hyperlink" Target="https://www.boe.es/buscar/act.php?id=BOE-A-2020-3824&amp;p=20200429&amp;tn=1" TargetMode="External"/><Relationship Id="rId83" Type="http://schemas.openxmlformats.org/officeDocument/2006/relationships/hyperlink" Target="https://www.boe.es/buscar/act.php?id=BOE-A-2020-3824&amp;p=20200429&amp;tn=1" TargetMode="External"/><Relationship Id="rId88" Type="http://schemas.openxmlformats.org/officeDocument/2006/relationships/hyperlink" Target="https://www.boe.es/buscar/act.php?id=BOE-A-2020-3824&amp;p=20200429&amp;tn=1" TargetMode="External"/><Relationship Id="rId91" Type="http://schemas.openxmlformats.org/officeDocument/2006/relationships/hyperlink" Target="https://www.boe.es/buscar/act.php?id=BOE-A-2020-3824&amp;p=20200429&amp;tn=1" TargetMode="External"/><Relationship Id="rId96" Type="http://schemas.openxmlformats.org/officeDocument/2006/relationships/hyperlink" Target="https://www.boe.es/buscar/act.php?id=BOE-A-2020-3824&amp;p=20200429&amp;tn=1" TargetMode="External"/><Relationship Id="rId1" Type="http://schemas.openxmlformats.org/officeDocument/2006/relationships/styles" Target="styles.xml"/><Relationship Id="rId6" Type="http://schemas.openxmlformats.org/officeDocument/2006/relationships/hyperlink" Target="https://www.boe.es/buscar/act.php?id=BOE-A-2020-4208" TargetMode="External"/><Relationship Id="rId15" Type="http://schemas.openxmlformats.org/officeDocument/2006/relationships/hyperlink" Target="https://www.boe.es/buscar/act.php?id=BOE-A-2020-3824&amp;p=20200429&amp;tn=1" TargetMode="External"/><Relationship Id="rId23" Type="http://schemas.openxmlformats.org/officeDocument/2006/relationships/hyperlink" Target="https://www.boe.es/buscar/act.php?id=BOE-A-2020-3824&amp;p=20200429&amp;tn=1" TargetMode="External"/><Relationship Id="rId28" Type="http://schemas.openxmlformats.org/officeDocument/2006/relationships/hyperlink" Target="https://www.boe.es/buscar/act.php?id=BOE-A-2020-3824&amp;p=20200429&amp;tn=1" TargetMode="External"/><Relationship Id="rId36" Type="http://schemas.openxmlformats.org/officeDocument/2006/relationships/hyperlink" Target="https://www.boe.es/buscar/act.php?id=BOE-A-2020-3824&amp;p=20200429&amp;tn=1" TargetMode="External"/><Relationship Id="rId49" Type="http://schemas.openxmlformats.org/officeDocument/2006/relationships/hyperlink" Target="https://www.boe.es/buscar/act.php?id=BOE-A-2020-3824&amp;p=20200429&amp;tn=1" TargetMode="External"/><Relationship Id="rId57" Type="http://schemas.openxmlformats.org/officeDocument/2006/relationships/hyperlink" Target="https://www.boe.es/buscar/act.php?id=BOE-A-2020-3824&amp;p=20200429&amp;tn=1" TargetMode="External"/><Relationship Id="rId10" Type="http://schemas.openxmlformats.org/officeDocument/2006/relationships/hyperlink" Target="https://www.boe.es/buscar/act.php?id=BOE-A-2020-4208" TargetMode="External"/><Relationship Id="rId31" Type="http://schemas.openxmlformats.org/officeDocument/2006/relationships/hyperlink" Target="https://www.boe.es/buscar/act.php?id=BOE-A-2020-3824&amp;p=20200429&amp;tn=1" TargetMode="External"/><Relationship Id="rId44" Type="http://schemas.openxmlformats.org/officeDocument/2006/relationships/hyperlink" Target="https://www.boe.es/buscar/act.php?id=BOE-A-2020-3824&amp;p=20200429&amp;tn=1" TargetMode="External"/><Relationship Id="rId52" Type="http://schemas.openxmlformats.org/officeDocument/2006/relationships/hyperlink" Target="https://www.boe.es/buscar/act.php?id=BOE-A-2020-3824&amp;p=20200429&amp;tn=1" TargetMode="External"/><Relationship Id="rId60" Type="http://schemas.openxmlformats.org/officeDocument/2006/relationships/hyperlink" Target="https://www.boe.es/buscar/act.php?id=BOE-A-2020-3824&amp;p=20200429&amp;tn=1" TargetMode="External"/><Relationship Id="rId65" Type="http://schemas.openxmlformats.org/officeDocument/2006/relationships/hyperlink" Target="https://www.boe.es/buscar/act.php?id=BOE-A-2020-3824&amp;p=20200429&amp;tn=1" TargetMode="External"/><Relationship Id="rId73" Type="http://schemas.openxmlformats.org/officeDocument/2006/relationships/hyperlink" Target="https://www.boe.es/buscar/act.php?id=BOE-A-2020-3824&amp;p=20200429&amp;tn=1" TargetMode="External"/><Relationship Id="rId78" Type="http://schemas.openxmlformats.org/officeDocument/2006/relationships/hyperlink" Target="https://www.boe.es/buscar/act.php?id=BOE-A-2020-3824&amp;p=20200429&amp;tn=1" TargetMode="External"/><Relationship Id="rId81" Type="http://schemas.openxmlformats.org/officeDocument/2006/relationships/hyperlink" Target="https://www.boe.es/buscar/act.php?id=BOE-A-2020-3824&amp;p=20200429&amp;tn=1" TargetMode="External"/><Relationship Id="rId86" Type="http://schemas.openxmlformats.org/officeDocument/2006/relationships/hyperlink" Target="https://www.boe.es/buscar/act.php?id=BOE-A-2020-3824&amp;p=20200429&amp;tn=1" TargetMode="External"/><Relationship Id="rId94" Type="http://schemas.openxmlformats.org/officeDocument/2006/relationships/hyperlink" Target="https://www.boe.es/buscar/act.php?id=BOE-A-2020-3824&amp;p=20200429&amp;tn=1" TargetMode="External"/><Relationship Id="rId99" Type="http://schemas.openxmlformats.org/officeDocument/2006/relationships/hyperlink" Target="https://www.boe.es/buscar/act.php?id=BOE-A-2020-3824&amp;p=20200429&amp;tn=1" TargetMode="External"/><Relationship Id="rId101" Type="http://schemas.openxmlformats.org/officeDocument/2006/relationships/hyperlink" Target="https://www.boe.es/buscar/act.php?id=BOE-A-2020-3824&amp;p=20200429&amp;tn=1" TargetMode="External"/><Relationship Id="rId4" Type="http://schemas.openxmlformats.org/officeDocument/2006/relationships/hyperlink" Target="https://www.boe.es/buscar/act.php?id=BOE-A-2020-3824" TargetMode="External"/><Relationship Id="rId9" Type="http://schemas.openxmlformats.org/officeDocument/2006/relationships/hyperlink" Target="https://www.boe.es/buscar/act.php?id=BOE-A-2020-4705&amp;p=20200429&amp;tn=1" TargetMode="External"/><Relationship Id="rId13" Type="http://schemas.openxmlformats.org/officeDocument/2006/relationships/hyperlink" Target="https://www.boe.es/buscar/act.php?id=BOE-A-2020-3824" TargetMode="External"/><Relationship Id="rId18" Type="http://schemas.openxmlformats.org/officeDocument/2006/relationships/hyperlink" Target="https://www.boe.es/buscar/act.php?id=BOE-A-2020-3824&amp;p=20200429&amp;tn=1" TargetMode="External"/><Relationship Id="rId39" Type="http://schemas.openxmlformats.org/officeDocument/2006/relationships/hyperlink" Target="https://www.boe.es/buscar/act.php?id=BOE-A-2020-3824&amp;p=20200429&amp;tn=1" TargetMode="External"/><Relationship Id="rId34" Type="http://schemas.openxmlformats.org/officeDocument/2006/relationships/hyperlink" Target="https://www.boe.es/buscar/act.php?id=BOE-A-2020-3824&amp;p=20200429&amp;tn=1" TargetMode="External"/><Relationship Id="rId50" Type="http://schemas.openxmlformats.org/officeDocument/2006/relationships/hyperlink" Target="https://www.boe.es/buscar/act.php?id=BOE-A-2020-3824&amp;p=20200429&amp;tn=1" TargetMode="External"/><Relationship Id="rId55" Type="http://schemas.openxmlformats.org/officeDocument/2006/relationships/hyperlink" Target="https://www.boe.es/buscar/act.php?id=BOE-A-2020-3824&amp;p=20200429&amp;tn=1" TargetMode="External"/><Relationship Id="rId76" Type="http://schemas.openxmlformats.org/officeDocument/2006/relationships/hyperlink" Target="https://www.boe.es/buscar/act.php?id=BOE-A-2020-3824&amp;p=20200429&amp;tn=1" TargetMode="External"/><Relationship Id="rId97" Type="http://schemas.openxmlformats.org/officeDocument/2006/relationships/hyperlink" Target="https://www.boe.es/buscar/act.php?id=BOE-A-2020-3824&amp;p=20200429&amp;tn=1" TargetMode="External"/><Relationship Id="rId104" Type="http://schemas.openxmlformats.org/officeDocument/2006/relationships/fontTable" Target="fontTable.xml"/><Relationship Id="rId7" Type="http://schemas.openxmlformats.org/officeDocument/2006/relationships/hyperlink" Target="https://www.boe.es/buscar/act.php?id=BOE-A-2020-4208" TargetMode="External"/><Relationship Id="rId71" Type="http://schemas.openxmlformats.org/officeDocument/2006/relationships/hyperlink" Target="https://www.boe.es/buscar/act.php?id=BOE-A-2020-3824&amp;p=20200429&amp;tn=1" TargetMode="External"/><Relationship Id="rId92" Type="http://schemas.openxmlformats.org/officeDocument/2006/relationships/hyperlink" Target="https://www.boe.es/buscar/act.php?id=BOE-A-2020-3824&amp;p=20200429&amp;tn=1" TargetMode="External"/><Relationship Id="rId2" Type="http://schemas.openxmlformats.org/officeDocument/2006/relationships/settings" Target="settings.xml"/><Relationship Id="rId29" Type="http://schemas.openxmlformats.org/officeDocument/2006/relationships/hyperlink" Target="https://www.boe.es/buscar/act.php?id=BOE-A-2020-3824&amp;p=20200429&amp;tn=1" TargetMode="External"/><Relationship Id="rId24" Type="http://schemas.openxmlformats.org/officeDocument/2006/relationships/hyperlink" Target="https://www.boe.es/buscar/act.php?id=BOE-A-2020-3824&amp;p=20200429&amp;tn=1" TargetMode="External"/><Relationship Id="rId40" Type="http://schemas.openxmlformats.org/officeDocument/2006/relationships/hyperlink" Target="https://www.boe.es/buscar/act.php?id=BOE-A-2020-3824&amp;p=20200429&amp;tn=1" TargetMode="External"/><Relationship Id="rId45" Type="http://schemas.openxmlformats.org/officeDocument/2006/relationships/hyperlink" Target="https://www.boe.es/buscar/act.php?id=BOE-A-2020-3824&amp;p=20200429&amp;tn=1" TargetMode="External"/><Relationship Id="rId66" Type="http://schemas.openxmlformats.org/officeDocument/2006/relationships/hyperlink" Target="https://www.boe.es/buscar/act.php?id=BOE-A-2020-3824&amp;p=20200429&amp;tn=1" TargetMode="External"/><Relationship Id="rId87" Type="http://schemas.openxmlformats.org/officeDocument/2006/relationships/hyperlink" Target="https://www.boe.es/buscar/act.php?id=BOE-A-2020-3824&amp;p=20200429&amp;tn=1" TargetMode="External"/><Relationship Id="rId61" Type="http://schemas.openxmlformats.org/officeDocument/2006/relationships/hyperlink" Target="https://www.boe.es/buscar/act.php?id=BOE-A-2020-3824&amp;p=20200429&amp;tn=1" TargetMode="External"/><Relationship Id="rId82" Type="http://schemas.openxmlformats.org/officeDocument/2006/relationships/hyperlink" Target="https://www.boe.es/buscar/act.php?id=BOE-A-2020-3824&amp;p=20200429&amp;tn=1" TargetMode="External"/><Relationship Id="rId19" Type="http://schemas.openxmlformats.org/officeDocument/2006/relationships/hyperlink" Target="https://www.boe.es/buscar/act.php?id=BOE-A-2020-3824&amp;p=20200429&amp;tn=1" TargetMode="External"/><Relationship Id="rId14" Type="http://schemas.openxmlformats.org/officeDocument/2006/relationships/hyperlink" Target="https://www.boe.es/buscar/act.php?id=BOE-A-2020-3824&amp;p=20200429&amp;tn=1" TargetMode="External"/><Relationship Id="rId30" Type="http://schemas.openxmlformats.org/officeDocument/2006/relationships/hyperlink" Target="https://www.boe.es/buscar/act.php?id=BOE-A-2020-3824&amp;p=20200429&amp;tn=1" TargetMode="External"/><Relationship Id="rId35" Type="http://schemas.openxmlformats.org/officeDocument/2006/relationships/hyperlink" Target="https://www.boe.es/buscar/act.php?id=BOE-A-2020-3824&amp;p=20200429&amp;tn=1" TargetMode="External"/><Relationship Id="rId56" Type="http://schemas.openxmlformats.org/officeDocument/2006/relationships/hyperlink" Target="https://www.boe.es/buscar/act.php?id=BOE-A-2020-3824&amp;p=20200429&amp;tn=1" TargetMode="External"/><Relationship Id="rId77" Type="http://schemas.openxmlformats.org/officeDocument/2006/relationships/hyperlink" Target="https://www.boe.es/buscar/act.php?id=BOE-A-2020-3824&amp;p=20200429&amp;tn=1" TargetMode="External"/><Relationship Id="rId100" Type="http://schemas.openxmlformats.org/officeDocument/2006/relationships/hyperlink" Target="https://www.boe.es/buscar/act.php?id=BOE-A-2020-3824&amp;p=20200429&amp;tn=1" TargetMode="External"/><Relationship Id="rId105" Type="http://schemas.openxmlformats.org/officeDocument/2006/relationships/theme" Target="theme/theme1.xml"/><Relationship Id="rId8" Type="http://schemas.openxmlformats.org/officeDocument/2006/relationships/hyperlink" Target="https://www.boe.es/buscar/act.php?id=BOE-A-2020-4208" TargetMode="External"/><Relationship Id="rId51" Type="http://schemas.openxmlformats.org/officeDocument/2006/relationships/hyperlink" Target="https://www.boe.es/buscar/act.php?id=BOE-A-2020-3824&amp;p=20200429&amp;tn=1" TargetMode="External"/><Relationship Id="rId72" Type="http://schemas.openxmlformats.org/officeDocument/2006/relationships/hyperlink" Target="https://www.boe.es/buscar/act.php?id=BOE-A-2020-3824&amp;p=20200429&amp;tn=1" TargetMode="External"/><Relationship Id="rId93" Type="http://schemas.openxmlformats.org/officeDocument/2006/relationships/hyperlink" Target="https://www.boe.es/buscar/act.php?id=BOE-A-2020-3824&amp;p=20200429&amp;tn=1" TargetMode="External"/><Relationship Id="rId98" Type="http://schemas.openxmlformats.org/officeDocument/2006/relationships/hyperlink" Target="https://www.boe.es/buscar/act.php?id=BOE-A-2020-3824&amp;p=20200429&amp;tn=1" TargetMode="External"/><Relationship Id="rId3" Type="http://schemas.openxmlformats.org/officeDocument/2006/relationships/webSettings" Target="webSettings.xml"/><Relationship Id="rId25" Type="http://schemas.openxmlformats.org/officeDocument/2006/relationships/hyperlink" Target="https://www.boe.es/buscar/act.php?id=BOE-A-2020-3824&amp;p=20200429&amp;tn=1" TargetMode="External"/><Relationship Id="rId46" Type="http://schemas.openxmlformats.org/officeDocument/2006/relationships/hyperlink" Target="https://www.boe.es/buscar/act.php?id=BOE-A-2020-3824&amp;p=20200429&amp;tn=1" TargetMode="External"/><Relationship Id="rId67" Type="http://schemas.openxmlformats.org/officeDocument/2006/relationships/hyperlink" Target="https://www.boe.es/buscar/act.php?id=BOE-A-2020-3824&amp;p=20200429&amp;tn=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10354</Words>
  <Characters>56950</Characters>
  <Application>Microsoft Office Word</Application>
  <DocSecurity>0</DocSecurity>
  <Lines>474</Lines>
  <Paragraphs>134</Paragraphs>
  <ScaleCrop>false</ScaleCrop>
  <Company/>
  <LinksUpToDate>false</LinksUpToDate>
  <CharactersWithSpaces>67170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2020-05-08T09:50:00Z</dcterms:created>
  <dcterms:modified xsi:type="dcterms:W3CDTF">2020-05-08T09:58:00Z</dcterms:modified>
</cp:coreProperties>
</file>