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E4989" w14:textId="02C7D183" w:rsidR="00577317" w:rsidRPr="008A000D" w:rsidRDefault="008A000D" w:rsidP="008A000D">
      <w:pPr>
        <w:spacing w:after="0" w:line="240" w:lineRule="auto"/>
        <w:jc w:val="center"/>
        <w:textAlignment w:val="baseline"/>
        <w:outlineLvl w:val="0"/>
        <w:rPr>
          <w:rFonts w:ascii="Arial" w:eastAsia="Times New Roman" w:hAnsi="Arial" w:cs="Arial"/>
          <w:b/>
          <w:bCs/>
          <w:color w:val="2B2B2B"/>
          <w:kern w:val="36"/>
          <w:sz w:val="40"/>
          <w:szCs w:val="40"/>
          <w:u w:val="single"/>
          <w:bdr w:val="none" w:sz="0" w:space="0" w:color="auto" w:frame="1"/>
          <w:lang w:eastAsia="es-ES_tradnl"/>
        </w:rPr>
      </w:pPr>
      <w:r w:rsidRPr="008A000D">
        <w:rPr>
          <w:rFonts w:ascii="Arial" w:eastAsia="Times New Roman" w:hAnsi="Arial" w:cs="Arial"/>
          <w:b/>
          <w:bCs/>
          <w:color w:val="2B2B2B"/>
          <w:kern w:val="36"/>
          <w:sz w:val="40"/>
          <w:szCs w:val="40"/>
          <w:bdr w:val="none" w:sz="0" w:space="0" w:color="auto" w:frame="1"/>
          <w:lang w:eastAsia="es-ES_tradnl"/>
        </w:rPr>
        <w:t xml:space="preserve">ESCRIVÁ ENDURECERÁ EL CASTIGO A LAS EMPRESAS QUE ENCADENEN LOS </w:t>
      </w:r>
      <w:r w:rsidRPr="008A000D">
        <w:rPr>
          <w:rFonts w:ascii="Arial" w:eastAsia="Times New Roman" w:hAnsi="Arial" w:cs="Arial"/>
          <w:b/>
          <w:bCs/>
          <w:color w:val="2B2B2B"/>
          <w:kern w:val="36"/>
          <w:sz w:val="40"/>
          <w:szCs w:val="40"/>
          <w:u w:val="single"/>
          <w:bdr w:val="none" w:sz="0" w:space="0" w:color="auto" w:frame="1"/>
          <w:lang w:eastAsia="es-ES_tradnl"/>
        </w:rPr>
        <w:t>CONTRATOS EXPRÉS</w:t>
      </w:r>
    </w:p>
    <w:p w14:paraId="46BD2EF5" w14:textId="77777777" w:rsidR="008A000D" w:rsidRPr="008A000D" w:rsidRDefault="008A000D" w:rsidP="008A000D">
      <w:pPr>
        <w:spacing w:after="0" w:line="240" w:lineRule="auto"/>
        <w:jc w:val="center"/>
        <w:textAlignment w:val="baseline"/>
        <w:outlineLvl w:val="0"/>
        <w:rPr>
          <w:rFonts w:ascii="Arial" w:eastAsia="Times New Roman" w:hAnsi="Arial" w:cs="Arial"/>
          <w:color w:val="000000"/>
          <w:kern w:val="36"/>
          <w:sz w:val="40"/>
          <w:szCs w:val="40"/>
          <w:bdr w:val="none" w:sz="0" w:space="0" w:color="auto" w:frame="1"/>
          <w:lang w:eastAsia="es-ES_tradnl"/>
        </w:rPr>
      </w:pPr>
    </w:p>
    <w:p w14:paraId="4497F1D9" w14:textId="77777777" w:rsidR="00577317" w:rsidRPr="008A000D" w:rsidRDefault="00577317" w:rsidP="008A000D">
      <w:pPr>
        <w:spacing w:after="300" w:line="240" w:lineRule="auto"/>
        <w:jc w:val="both"/>
        <w:textAlignment w:val="baseline"/>
        <w:outlineLvl w:val="1"/>
        <w:rPr>
          <w:rFonts w:ascii="Arial" w:eastAsia="Times New Roman" w:hAnsi="Arial" w:cs="Arial"/>
          <w:color w:val="000000" w:themeColor="text1"/>
          <w:sz w:val="28"/>
          <w:szCs w:val="28"/>
          <w:bdr w:val="none" w:sz="0" w:space="0" w:color="auto" w:frame="1"/>
          <w:lang w:eastAsia="es-ES_tradnl"/>
        </w:rPr>
      </w:pPr>
      <w:r w:rsidRPr="008A000D">
        <w:rPr>
          <w:rFonts w:ascii="Arial" w:eastAsia="Times New Roman" w:hAnsi="Arial" w:cs="Arial"/>
          <w:color w:val="000000" w:themeColor="text1"/>
          <w:sz w:val="28"/>
          <w:szCs w:val="28"/>
          <w:bdr w:val="none" w:sz="0" w:space="0" w:color="auto" w:frame="1"/>
          <w:lang w:eastAsia="es-ES_tradnl"/>
        </w:rPr>
        <w:t>El Gobierno pondrá en marcha una penalización «creciente» ligada al «número de bajas de cotización»</w:t>
      </w:r>
    </w:p>
    <w:p w14:paraId="0DFFD4F6" w14:textId="77777777" w:rsidR="00577317" w:rsidRPr="008A000D" w:rsidRDefault="00577317" w:rsidP="008A000D">
      <w:pPr>
        <w:spacing w:after="0" w:line="240" w:lineRule="auto"/>
        <w:jc w:val="both"/>
        <w:textAlignment w:val="baseline"/>
        <w:rPr>
          <w:rFonts w:ascii="Arial" w:eastAsia="Times New Roman" w:hAnsi="Arial" w:cs="Arial"/>
          <w:color w:val="000000" w:themeColor="text1"/>
          <w:spacing w:val="6"/>
          <w:sz w:val="28"/>
          <w:szCs w:val="28"/>
          <w:bdr w:val="none" w:sz="0" w:space="0" w:color="auto" w:frame="1"/>
          <w:lang w:eastAsia="es-ES_tradnl"/>
        </w:rPr>
      </w:pPr>
      <w:r w:rsidRPr="008A000D">
        <w:rPr>
          <w:rFonts w:ascii="Arial" w:eastAsia="Times New Roman" w:hAnsi="Arial" w:cs="Arial"/>
          <w:color w:val="000000" w:themeColor="text1"/>
          <w:spacing w:val="6"/>
          <w:sz w:val="28"/>
          <w:szCs w:val="28"/>
          <w:bdr w:val="none" w:sz="0" w:space="0" w:color="auto" w:frame="1"/>
          <w:lang w:eastAsia="es-ES_tradnl"/>
        </w:rPr>
        <w:t>El Gobierno volverá a endurecer la</w:t>
      </w:r>
      <w:r w:rsidRPr="008A000D">
        <w:rPr>
          <w:rFonts w:ascii="Arial" w:eastAsia="Times New Roman" w:hAnsi="Arial" w:cs="Arial"/>
          <w:b/>
          <w:bCs/>
          <w:color w:val="000000" w:themeColor="text1"/>
          <w:spacing w:val="6"/>
          <w:sz w:val="28"/>
          <w:szCs w:val="28"/>
          <w:bdr w:val="none" w:sz="0" w:space="0" w:color="auto" w:frame="1"/>
          <w:lang w:eastAsia="es-ES_tradnl"/>
        </w:rPr>
        <w:t> penalización en la cotización de los contratos de corta duración</w:t>
      </w:r>
      <w:r w:rsidRPr="008A000D">
        <w:rPr>
          <w:rFonts w:ascii="Arial" w:eastAsia="Times New Roman" w:hAnsi="Arial" w:cs="Arial"/>
          <w:color w:val="000000" w:themeColor="text1"/>
          <w:spacing w:val="6"/>
          <w:sz w:val="28"/>
          <w:szCs w:val="28"/>
          <w:bdr w:val="none" w:sz="0" w:space="0" w:color="auto" w:frame="1"/>
          <w:lang w:eastAsia="es-ES_tradnl"/>
        </w:rPr>
        <w:t> en un intento de luchar contra la dualidad del mercado laboral español. El castigo se centrará en las empresas que opten recurrentemente por esta modalidad de contratación. Según ha detallado el ministro de Seguridad Social, </w:t>
      </w:r>
      <w:r w:rsidRPr="008A000D">
        <w:rPr>
          <w:rFonts w:ascii="Arial" w:eastAsia="Times New Roman" w:hAnsi="Arial" w:cs="Arial"/>
          <w:b/>
          <w:bCs/>
          <w:color w:val="000000" w:themeColor="text1"/>
          <w:spacing w:val="6"/>
          <w:sz w:val="28"/>
          <w:szCs w:val="28"/>
          <w:bdr w:val="none" w:sz="0" w:space="0" w:color="auto" w:frame="1"/>
          <w:lang w:eastAsia="es-ES_tradnl"/>
        </w:rPr>
        <w:t>José Luis Escrivá</w:t>
      </w:r>
      <w:r w:rsidRPr="008A000D">
        <w:rPr>
          <w:rFonts w:ascii="Arial" w:eastAsia="Times New Roman" w:hAnsi="Arial" w:cs="Arial"/>
          <w:color w:val="000000" w:themeColor="text1"/>
          <w:spacing w:val="6"/>
          <w:sz w:val="28"/>
          <w:szCs w:val="28"/>
          <w:bdr w:val="none" w:sz="0" w:space="0" w:color="auto" w:frame="1"/>
          <w:lang w:eastAsia="es-ES_tradnl"/>
        </w:rPr>
        <w:t>, durante la rueda de prensa para presentar los componentes del Plan de Recuperación, Transformación y Resiliencia de su Ministerio, el departamento trabaja ya para erradicar el «abuso de los contratos de corta duración, que ahora mismo son </w:t>
      </w:r>
      <w:r w:rsidRPr="008A000D">
        <w:rPr>
          <w:rFonts w:ascii="Arial" w:eastAsia="Times New Roman" w:hAnsi="Arial" w:cs="Arial"/>
          <w:b/>
          <w:bCs/>
          <w:color w:val="000000" w:themeColor="text1"/>
          <w:spacing w:val="6"/>
          <w:sz w:val="28"/>
          <w:szCs w:val="28"/>
          <w:bdr w:val="none" w:sz="0" w:space="0" w:color="auto" w:frame="1"/>
          <w:lang w:eastAsia="es-ES_tradnl"/>
        </w:rPr>
        <w:t>excesivamente recurrentes en el mercado laboral español»</w:t>
      </w:r>
      <w:r w:rsidRPr="008A000D">
        <w:rPr>
          <w:rFonts w:ascii="Arial" w:eastAsia="Times New Roman" w:hAnsi="Arial" w:cs="Arial"/>
          <w:color w:val="000000" w:themeColor="text1"/>
          <w:spacing w:val="6"/>
          <w:sz w:val="28"/>
          <w:szCs w:val="28"/>
          <w:bdr w:val="none" w:sz="0" w:space="0" w:color="auto" w:frame="1"/>
          <w:lang w:eastAsia="es-ES_tradnl"/>
        </w:rPr>
        <w:t> y se pondrá en marcha una penalización «creciente con el número de bajas de cotización en un determinado periodo de tiempo». Esto es, a mayor número de bajas en el sistema, mayor será el coste.</w:t>
      </w:r>
    </w:p>
    <w:p w14:paraId="2A999B10" w14:textId="5E65DEA8" w:rsidR="00577317" w:rsidRPr="008A000D" w:rsidRDefault="00577317" w:rsidP="008A000D">
      <w:pPr>
        <w:spacing w:after="0" w:line="240" w:lineRule="auto"/>
        <w:jc w:val="both"/>
        <w:textAlignment w:val="baseline"/>
        <w:rPr>
          <w:rFonts w:ascii="Arial" w:eastAsia="Times New Roman" w:hAnsi="Arial" w:cs="Arial"/>
          <w:color w:val="000000" w:themeColor="text1"/>
          <w:spacing w:val="6"/>
          <w:sz w:val="28"/>
          <w:szCs w:val="28"/>
          <w:bdr w:val="none" w:sz="0" w:space="0" w:color="auto" w:frame="1"/>
          <w:lang w:eastAsia="es-ES_tradnl"/>
        </w:rPr>
      </w:pPr>
      <w:r w:rsidRPr="008A000D">
        <w:rPr>
          <w:rFonts w:ascii="Arial" w:eastAsia="Times New Roman" w:hAnsi="Arial" w:cs="Arial"/>
          <w:color w:val="000000" w:themeColor="text1"/>
          <w:spacing w:val="6"/>
          <w:sz w:val="28"/>
          <w:szCs w:val="28"/>
          <w:bdr w:val="none" w:sz="0" w:space="0" w:color="auto" w:frame="1"/>
          <w:lang w:eastAsia="es-ES_tradnl"/>
        </w:rPr>
        <w:t>Esta es una de las novedades del mercado laboral a las que se ha comprometido el Gobierno con Bruselas a cambio de acceder a los fondos europeos y que incluyen varias novedades en el ámbito de la Seguridad Social. Además de la lucha contra la temporalidad vía cotizaciones, Escrivá ha explicado que se pondrán en marcha dos modalidades de</w:t>
      </w:r>
      <w:r w:rsidRPr="008A000D">
        <w:rPr>
          <w:rFonts w:ascii="Arial" w:eastAsia="Times New Roman" w:hAnsi="Arial" w:cs="Arial"/>
          <w:b/>
          <w:bCs/>
          <w:color w:val="000000" w:themeColor="text1"/>
          <w:spacing w:val="6"/>
          <w:sz w:val="28"/>
          <w:szCs w:val="28"/>
          <w:bdr w:val="none" w:sz="0" w:space="0" w:color="auto" w:frame="1"/>
          <w:lang w:eastAsia="es-ES_tradnl"/>
        </w:rPr>
        <w:t> ERTE permanentes</w:t>
      </w:r>
      <w:r w:rsidRPr="008A000D">
        <w:rPr>
          <w:rFonts w:ascii="Arial" w:eastAsia="Times New Roman" w:hAnsi="Arial" w:cs="Arial"/>
          <w:color w:val="000000" w:themeColor="text1"/>
          <w:spacing w:val="6"/>
          <w:sz w:val="28"/>
          <w:szCs w:val="28"/>
          <w:bdr w:val="none" w:sz="0" w:space="0" w:color="auto" w:frame="1"/>
          <w:lang w:eastAsia="es-ES_tradnl"/>
        </w:rPr>
        <w:t>, pues «la pandemia nos ha demostrado que han sido una herramienta clave para sostener el empleo y queremos utilizar esta experiencia para el futuro». En concreto, uno de las modalidades se orientará a las empresas que sufran caídas coyunturales de su actividad, como ha ocurrido con el Covid, mientras el otro se destinará para compañías que deban transitar hacia nuevos modelos de producción. En ambos modelos se impondrá </w:t>
      </w:r>
      <w:r w:rsidRPr="008A000D">
        <w:rPr>
          <w:rFonts w:ascii="Arial" w:eastAsia="Times New Roman" w:hAnsi="Arial" w:cs="Arial"/>
          <w:b/>
          <w:bCs/>
          <w:color w:val="000000" w:themeColor="text1"/>
          <w:spacing w:val="6"/>
          <w:sz w:val="28"/>
          <w:szCs w:val="28"/>
          <w:bdr w:val="none" w:sz="0" w:space="0" w:color="auto" w:frame="1"/>
          <w:lang w:eastAsia="es-ES_tradnl"/>
        </w:rPr>
        <w:t>formación a los trabajadores suspendidos</w:t>
      </w:r>
      <w:r w:rsidRPr="008A000D">
        <w:rPr>
          <w:rFonts w:ascii="Arial" w:eastAsia="Times New Roman" w:hAnsi="Arial" w:cs="Arial"/>
          <w:color w:val="000000" w:themeColor="text1"/>
          <w:spacing w:val="6"/>
          <w:sz w:val="28"/>
          <w:szCs w:val="28"/>
          <w:bdr w:val="none" w:sz="0" w:space="0" w:color="auto" w:frame="1"/>
          <w:lang w:eastAsia="es-ES_tradnl"/>
        </w:rPr>
        <w:t>,</w:t>
      </w:r>
      <w:r w:rsidR="008A000D">
        <w:rPr>
          <w:rFonts w:ascii="Arial" w:eastAsia="Times New Roman" w:hAnsi="Arial" w:cs="Arial"/>
          <w:color w:val="000000" w:themeColor="text1"/>
          <w:spacing w:val="6"/>
          <w:sz w:val="28"/>
          <w:szCs w:val="28"/>
          <w:bdr w:val="none" w:sz="0" w:space="0" w:color="auto" w:frame="1"/>
          <w:lang w:eastAsia="es-ES_tradnl"/>
        </w:rPr>
        <w:t xml:space="preserve">  </w:t>
      </w:r>
      <w:r w:rsidRPr="008A000D">
        <w:rPr>
          <w:rFonts w:ascii="Arial" w:eastAsia="Times New Roman" w:hAnsi="Arial" w:cs="Arial"/>
          <w:color w:val="000000" w:themeColor="text1"/>
          <w:spacing w:val="6"/>
          <w:sz w:val="28"/>
          <w:szCs w:val="28"/>
          <w:bdr w:val="none" w:sz="0" w:space="0" w:color="auto" w:frame="1"/>
          <w:lang w:eastAsia="es-ES_tradnl"/>
        </w:rPr>
        <w:t>especialmente en la segunda modalidad.</w:t>
      </w:r>
    </w:p>
    <w:p w14:paraId="61DE8968" w14:textId="77777777" w:rsidR="00577317" w:rsidRPr="008A000D" w:rsidRDefault="00577317" w:rsidP="008A000D">
      <w:pPr>
        <w:spacing w:after="0" w:line="240" w:lineRule="auto"/>
        <w:jc w:val="both"/>
        <w:textAlignment w:val="baseline"/>
        <w:rPr>
          <w:rFonts w:ascii="Arial" w:eastAsia="Times New Roman" w:hAnsi="Arial" w:cs="Arial"/>
          <w:color w:val="000000" w:themeColor="text1"/>
          <w:spacing w:val="6"/>
          <w:sz w:val="28"/>
          <w:szCs w:val="28"/>
          <w:bdr w:val="none" w:sz="0" w:space="0" w:color="auto" w:frame="1"/>
          <w:lang w:eastAsia="es-ES_tradnl"/>
        </w:rPr>
      </w:pPr>
      <w:r w:rsidRPr="008A000D">
        <w:rPr>
          <w:rFonts w:ascii="Arial" w:eastAsia="Times New Roman" w:hAnsi="Arial" w:cs="Arial"/>
          <w:color w:val="000000" w:themeColor="text1"/>
          <w:spacing w:val="6"/>
          <w:sz w:val="28"/>
          <w:szCs w:val="28"/>
          <w:bdr w:val="none" w:sz="0" w:space="0" w:color="auto" w:frame="1"/>
          <w:lang w:eastAsia="es-ES_tradnl"/>
        </w:rPr>
        <w:t>Los ERTE siguen siendo un paraguas de protección para cientos de miles de personas en España. En concreto, Escrivá espera que la cifra de acogidos </w:t>
      </w:r>
      <w:r w:rsidRPr="008A000D">
        <w:rPr>
          <w:rFonts w:ascii="Arial" w:eastAsia="Times New Roman" w:hAnsi="Arial" w:cs="Arial"/>
          <w:b/>
          <w:bCs/>
          <w:color w:val="000000" w:themeColor="text1"/>
          <w:spacing w:val="6"/>
          <w:sz w:val="28"/>
          <w:szCs w:val="28"/>
          <w:bdr w:val="none" w:sz="0" w:space="0" w:color="auto" w:frame="1"/>
          <w:lang w:eastAsia="es-ES_tradnl"/>
        </w:rPr>
        <w:t>baje de 600.000 esta misma semana</w:t>
      </w:r>
      <w:r w:rsidRPr="008A000D">
        <w:rPr>
          <w:rFonts w:ascii="Arial" w:eastAsia="Times New Roman" w:hAnsi="Arial" w:cs="Arial"/>
          <w:color w:val="000000" w:themeColor="text1"/>
          <w:spacing w:val="6"/>
          <w:sz w:val="28"/>
          <w:szCs w:val="28"/>
          <w:bdr w:val="none" w:sz="0" w:space="0" w:color="auto" w:frame="1"/>
          <w:lang w:eastAsia="es-ES_tradnl"/>
        </w:rPr>
        <w:t xml:space="preserve"> y, pese a las advertencias de organismos como el Banco de España o la </w:t>
      </w:r>
      <w:proofErr w:type="spellStart"/>
      <w:r w:rsidRPr="008A000D">
        <w:rPr>
          <w:rFonts w:ascii="Arial" w:eastAsia="Times New Roman" w:hAnsi="Arial" w:cs="Arial"/>
          <w:color w:val="000000" w:themeColor="text1"/>
          <w:spacing w:val="6"/>
          <w:sz w:val="28"/>
          <w:szCs w:val="28"/>
          <w:bdr w:val="none" w:sz="0" w:space="0" w:color="auto" w:frame="1"/>
          <w:lang w:eastAsia="es-ES_tradnl"/>
        </w:rPr>
        <w:t>Airef</w:t>
      </w:r>
      <w:proofErr w:type="spellEnd"/>
      <w:r w:rsidRPr="008A000D">
        <w:rPr>
          <w:rFonts w:ascii="Arial" w:eastAsia="Times New Roman" w:hAnsi="Arial" w:cs="Arial"/>
          <w:color w:val="000000" w:themeColor="text1"/>
          <w:spacing w:val="6"/>
          <w:sz w:val="28"/>
          <w:szCs w:val="28"/>
          <w:bdr w:val="none" w:sz="0" w:space="0" w:color="auto" w:frame="1"/>
          <w:lang w:eastAsia="es-ES_tradnl"/>
        </w:rPr>
        <w:t xml:space="preserve">, que alertan del alto riesgo de que estas personas acaben </w:t>
      </w:r>
      <w:r w:rsidRPr="008A000D">
        <w:rPr>
          <w:rFonts w:ascii="Arial" w:eastAsia="Times New Roman" w:hAnsi="Arial" w:cs="Arial"/>
          <w:color w:val="000000" w:themeColor="text1"/>
          <w:spacing w:val="6"/>
          <w:sz w:val="28"/>
          <w:szCs w:val="28"/>
          <w:bdr w:val="none" w:sz="0" w:space="0" w:color="auto" w:frame="1"/>
          <w:lang w:eastAsia="es-ES_tradnl"/>
        </w:rPr>
        <w:lastRenderedPageBreak/>
        <w:t>finalmente en el paro, el ministro se ha mostrado convencido de la reactivación de buena parte de los mismos. Según Escrivá, cuando se mira la estructura, las personas que están en ERTE están muy concentradas en sectores cuya recuperación a va a ser «muy fuerte en los próximos meses con toda seguridad».</w:t>
      </w:r>
    </w:p>
    <w:p w14:paraId="314A3765" w14:textId="77777777" w:rsidR="00577317" w:rsidRPr="008A000D" w:rsidRDefault="00577317" w:rsidP="008A000D">
      <w:pPr>
        <w:spacing w:after="0" w:line="240" w:lineRule="auto"/>
        <w:jc w:val="both"/>
        <w:textAlignment w:val="baseline"/>
        <w:rPr>
          <w:rFonts w:ascii="Arial" w:eastAsia="Times New Roman" w:hAnsi="Arial" w:cs="Arial"/>
          <w:color w:val="000000" w:themeColor="text1"/>
          <w:spacing w:val="6"/>
          <w:sz w:val="28"/>
          <w:szCs w:val="28"/>
          <w:bdr w:val="none" w:sz="0" w:space="0" w:color="auto" w:frame="1"/>
          <w:lang w:eastAsia="es-ES_tradnl"/>
        </w:rPr>
      </w:pPr>
      <w:r w:rsidRPr="008A000D">
        <w:rPr>
          <w:rFonts w:ascii="Arial" w:eastAsia="Times New Roman" w:hAnsi="Arial" w:cs="Arial"/>
          <w:color w:val="000000" w:themeColor="text1"/>
          <w:spacing w:val="6"/>
          <w:sz w:val="28"/>
          <w:szCs w:val="28"/>
          <w:bdr w:val="none" w:sz="0" w:space="0" w:color="auto" w:frame="1"/>
          <w:lang w:eastAsia="es-ES_tradnl"/>
        </w:rPr>
        <w:t>«La mitad de esos 600.000 trabajadores están empleados en </w:t>
      </w:r>
      <w:r w:rsidRPr="008A000D">
        <w:rPr>
          <w:rFonts w:ascii="Arial" w:eastAsia="Times New Roman" w:hAnsi="Arial" w:cs="Arial"/>
          <w:b/>
          <w:bCs/>
          <w:color w:val="000000" w:themeColor="text1"/>
          <w:spacing w:val="6"/>
          <w:sz w:val="28"/>
          <w:szCs w:val="28"/>
          <w:bdr w:val="none" w:sz="0" w:space="0" w:color="auto" w:frame="1"/>
          <w:lang w:eastAsia="es-ES_tradnl"/>
        </w:rPr>
        <w:t>restauración, comidas y bebidas y actividades de alojamiento</w:t>
      </w:r>
      <w:r w:rsidRPr="008A000D">
        <w:rPr>
          <w:rFonts w:ascii="Arial" w:eastAsia="Times New Roman" w:hAnsi="Arial" w:cs="Arial"/>
          <w:color w:val="000000" w:themeColor="text1"/>
          <w:spacing w:val="6"/>
          <w:sz w:val="28"/>
          <w:szCs w:val="28"/>
          <w:bdr w:val="none" w:sz="0" w:space="0" w:color="auto" w:frame="1"/>
          <w:lang w:eastAsia="es-ES_tradnl"/>
        </w:rPr>
        <w:t>», ha dicho Escrivá, aunque ha matizado que «algunas partes de estos sectores podría ocurrir que haya cambios en la estructura de la demanda y se ponga de manifiesto la necesidad de algún tipo de ajuste y ahí podremos tener una oportunidad de aplicar el mecanismo de flexibilidad interna para las empresas». La financiación de estos mecanismos permanentes de flexibilidad está aún en proceso de diseño. «Se prevé la creación de un Fondo Tripartito para financiar el mecanismo, cuyas contribuciones públicas podrían proceder de </w:t>
      </w:r>
      <w:r w:rsidRPr="008A000D">
        <w:rPr>
          <w:rFonts w:ascii="Arial" w:eastAsia="Times New Roman" w:hAnsi="Arial" w:cs="Arial"/>
          <w:b/>
          <w:bCs/>
          <w:color w:val="000000" w:themeColor="text1"/>
          <w:spacing w:val="6"/>
          <w:sz w:val="28"/>
          <w:szCs w:val="28"/>
          <w:bdr w:val="none" w:sz="0" w:space="0" w:color="auto" w:frame="1"/>
          <w:lang w:eastAsia="es-ES_tradnl"/>
        </w:rPr>
        <w:t xml:space="preserve">préstamos del Fondo de Recuperación-Next </w:t>
      </w:r>
      <w:proofErr w:type="spellStart"/>
      <w:r w:rsidRPr="008A000D">
        <w:rPr>
          <w:rFonts w:ascii="Arial" w:eastAsia="Times New Roman" w:hAnsi="Arial" w:cs="Arial"/>
          <w:b/>
          <w:bCs/>
          <w:color w:val="000000" w:themeColor="text1"/>
          <w:spacing w:val="6"/>
          <w:sz w:val="28"/>
          <w:szCs w:val="28"/>
          <w:bdr w:val="none" w:sz="0" w:space="0" w:color="auto" w:frame="1"/>
          <w:lang w:eastAsia="es-ES_tradnl"/>
        </w:rPr>
        <w:t>Generation</w:t>
      </w:r>
      <w:proofErr w:type="spellEnd"/>
      <w:r w:rsidRPr="008A000D">
        <w:rPr>
          <w:rFonts w:ascii="Arial" w:eastAsia="Times New Roman" w:hAnsi="Arial" w:cs="Arial"/>
          <w:color w:val="000000" w:themeColor="text1"/>
          <w:spacing w:val="6"/>
          <w:sz w:val="28"/>
          <w:szCs w:val="28"/>
          <w:bdr w:val="none" w:sz="0" w:space="0" w:color="auto" w:frame="1"/>
          <w:lang w:eastAsia="es-ES_tradnl"/>
        </w:rPr>
        <w:t>», ha dicho Escrivá.</w:t>
      </w:r>
    </w:p>
    <w:p w14:paraId="073BE4A7" w14:textId="6E94B4C1" w:rsidR="00577317" w:rsidRPr="008A000D" w:rsidRDefault="00577317" w:rsidP="008A000D">
      <w:pPr>
        <w:spacing w:after="375" w:line="240" w:lineRule="auto"/>
        <w:jc w:val="both"/>
        <w:textAlignment w:val="baseline"/>
        <w:rPr>
          <w:rFonts w:ascii="Arial" w:eastAsia="Times New Roman" w:hAnsi="Arial" w:cs="Arial"/>
          <w:color w:val="000000" w:themeColor="text1"/>
          <w:spacing w:val="6"/>
          <w:sz w:val="28"/>
          <w:szCs w:val="28"/>
          <w:bdr w:val="none" w:sz="0" w:space="0" w:color="auto" w:frame="1"/>
          <w:lang w:eastAsia="es-ES_tradnl"/>
        </w:rPr>
      </w:pPr>
      <w:r w:rsidRPr="008A000D">
        <w:rPr>
          <w:rFonts w:ascii="Arial" w:eastAsia="Times New Roman" w:hAnsi="Arial" w:cs="Arial"/>
          <w:color w:val="000000" w:themeColor="text1"/>
          <w:spacing w:val="6"/>
          <w:sz w:val="28"/>
          <w:szCs w:val="28"/>
          <w:bdr w:val="none" w:sz="0" w:space="0" w:color="auto" w:frame="1"/>
          <w:lang w:eastAsia="es-ES_tradnl"/>
        </w:rPr>
        <w:t>En lo que se refiere al sistema de pensiones, el ministro ha augurado un pronto desenlace a las negociaciones con los agentes sociales. «Hay que cumplir con los plazos del plan», ha dicho Escrivá. «El acuerdo tiene que ser inminente». El acuerdo deberá incluir l nuevo sistema de cotización de los autónomos, aunque el ministro ha remarcado que el cambio de sistema será «muy gradual» y que la entrada en vigor no empezará hasta 2023. El primer paquete de la reforma, que no incluye los puntos más espinosos socialmente como el que será el nuevo factor de sostenibilidad, incluye un rediseño de los coeficientes de desi</w:t>
      </w:r>
      <w:r w:rsidR="008A000D">
        <w:rPr>
          <w:rFonts w:ascii="Arial" w:eastAsia="Times New Roman" w:hAnsi="Arial" w:cs="Arial"/>
          <w:color w:val="000000" w:themeColor="text1"/>
          <w:spacing w:val="6"/>
          <w:sz w:val="28"/>
          <w:szCs w:val="28"/>
          <w:bdr w:val="none" w:sz="0" w:space="0" w:color="auto" w:frame="1"/>
          <w:lang w:eastAsia="es-ES_tradnl"/>
        </w:rPr>
        <w:t>n</w:t>
      </w:r>
      <w:r w:rsidRPr="008A000D">
        <w:rPr>
          <w:rFonts w:ascii="Arial" w:eastAsia="Times New Roman" w:hAnsi="Arial" w:cs="Arial"/>
          <w:color w:val="000000" w:themeColor="text1"/>
          <w:spacing w:val="6"/>
          <w:sz w:val="28"/>
          <w:szCs w:val="28"/>
          <w:bdr w:val="none" w:sz="0" w:space="0" w:color="auto" w:frame="1"/>
          <w:lang w:eastAsia="es-ES_tradnl"/>
        </w:rPr>
        <w:t>centivación a la jubilación anticipada y la derogación de la cláusula de jubilación forzosa.</w:t>
      </w:r>
    </w:p>
    <w:p w14:paraId="1FBF8EAC" w14:textId="77777777" w:rsidR="00577317" w:rsidRPr="008A000D" w:rsidRDefault="00577317" w:rsidP="008A000D">
      <w:pPr>
        <w:spacing w:after="0" w:line="240" w:lineRule="auto"/>
        <w:jc w:val="both"/>
        <w:textAlignment w:val="baseline"/>
        <w:rPr>
          <w:rFonts w:ascii="Arial" w:eastAsia="Times New Roman" w:hAnsi="Arial" w:cs="Arial"/>
          <w:color w:val="000000" w:themeColor="text1"/>
          <w:spacing w:val="6"/>
          <w:sz w:val="28"/>
          <w:szCs w:val="28"/>
          <w:bdr w:val="none" w:sz="0" w:space="0" w:color="auto" w:frame="1"/>
          <w:lang w:eastAsia="es-ES_tradnl"/>
        </w:rPr>
      </w:pPr>
      <w:r w:rsidRPr="008A000D">
        <w:rPr>
          <w:rFonts w:ascii="Arial" w:eastAsia="Times New Roman" w:hAnsi="Arial" w:cs="Arial"/>
          <w:color w:val="000000" w:themeColor="text1"/>
          <w:spacing w:val="6"/>
          <w:sz w:val="28"/>
          <w:szCs w:val="28"/>
          <w:bdr w:val="none" w:sz="0" w:space="0" w:color="auto" w:frame="1"/>
          <w:lang w:eastAsia="es-ES_tradnl"/>
        </w:rPr>
        <w:t>El ministro ha insistido en la necesidad de eliminar la incertidumbre que hay sobre el sistema de pensiones y sobre los futuros pensionistas. Una de las claves en este sentido será el diseño de las herramientas necesarias para absorber las llegadas de la generación del </w:t>
      </w:r>
      <w:r w:rsidRPr="008A000D">
        <w:rPr>
          <w:rFonts w:ascii="Arial" w:eastAsia="Times New Roman" w:hAnsi="Arial" w:cs="Arial"/>
          <w:b/>
          <w:bCs/>
          <w:color w:val="000000" w:themeColor="text1"/>
          <w:spacing w:val="6"/>
          <w:sz w:val="28"/>
          <w:szCs w:val="28"/>
          <w:bdr w:val="none" w:sz="0" w:space="0" w:color="auto" w:frame="1"/>
          <w:lang w:eastAsia="es-ES_tradnl"/>
        </w:rPr>
        <w:t>'baby boom'</w:t>
      </w:r>
      <w:r w:rsidRPr="008A000D">
        <w:rPr>
          <w:rFonts w:ascii="Arial" w:eastAsia="Times New Roman" w:hAnsi="Arial" w:cs="Arial"/>
          <w:color w:val="000000" w:themeColor="text1"/>
          <w:spacing w:val="6"/>
          <w:sz w:val="28"/>
          <w:szCs w:val="28"/>
          <w:bdr w:val="none" w:sz="0" w:space="0" w:color="auto" w:frame="1"/>
          <w:lang w:eastAsia="es-ES_tradnl"/>
        </w:rPr>
        <w:t> a la edad de jubilación. Según ha explicado Escrivá, la filosofía del nuevo </w:t>
      </w:r>
      <w:r w:rsidRPr="008A000D">
        <w:rPr>
          <w:rFonts w:ascii="Arial" w:eastAsia="Times New Roman" w:hAnsi="Arial" w:cs="Arial"/>
          <w:b/>
          <w:bCs/>
          <w:color w:val="000000" w:themeColor="text1"/>
          <w:spacing w:val="6"/>
          <w:sz w:val="28"/>
          <w:szCs w:val="28"/>
          <w:bdr w:val="none" w:sz="0" w:space="0" w:color="auto" w:frame="1"/>
          <w:lang w:eastAsia="es-ES_tradnl"/>
        </w:rPr>
        <w:t>factor de sostenibilidad</w:t>
      </w:r>
      <w:r w:rsidRPr="008A000D">
        <w:rPr>
          <w:rFonts w:ascii="Arial" w:eastAsia="Times New Roman" w:hAnsi="Arial" w:cs="Arial"/>
          <w:color w:val="000000" w:themeColor="text1"/>
          <w:spacing w:val="6"/>
          <w:sz w:val="28"/>
          <w:szCs w:val="28"/>
          <w:bdr w:val="none" w:sz="0" w:space="0" w:color="auto" w:frame="1"/>
          <w:lang w:eastAsia="es-ES_tradnl"/>
        </w:rPr>
        <w:t xml:space="preserve">, el llamado de equidad intergeneracional, en el que trabaja el ministerio busca concentrar el peso del esfuerzo que tendrá que hacer el sistema en la generación de los 'baby </w:t>
      </w:r>
      <w:proofErr w:type="spellStart"/>
      <w:r w:rsidRPr="008A000D">
        <w:rPr>
          <w:rFonts w:ascii="Arial" w:eastAsia="Times New Roman" w:hAnsi="Arial" w:cs="Arial"/>
          <w:color w:val="000000" w:themeColor="text1"/>
          <w:spacing w:val="6"/>
          <w:sz w:val="28"/>
          <w:szCs w:val="28"/>
          <w:bdr w:val="none" w:sz="0" w:space="0" w:color="auto" w:frame="1"/>
          <w:lang w:eastAsia="es-ES_tradnl"/>
        </w:rPr>
        <w:t>boomers</w:t>
      </w:r>
      <w:proofErr w:type="spellEnd"/>
      <w:r w:rsidRPr="008A000D">
        <w:rPr>
          <w:rFonts w:ascii="Arial" w:eastAsia="Times New Roman" w:hAnsi="Arial" w:cs="Arial"/>
          <w:color w:val="000000" w:themeColor="text1"/>
          <w:spacing w:val="6"/>
          <w:sz w:val="28"/>
          <w:szCs w:val="28"/>
          <w:bdr w:val="none" w:sz="0" w:space="0" w:color="auto" w:frame="1"/>
          <w:lang w:eastAsia="es-ES_tradnl"/>
        </w:rPr>
        <w:t>' y en menor medida en las siguientes generaciones.</w:t>
      </w:r>
    </w:p>
    <w:p w14:paraId="5E037AC8" w14:textId="77777777" w:rsidR="00577317" w:rsidRPr="008A000D" w:rsidRDefault="00577317" w:rsidP="008A000D">
      <w:pPr>
        <w:jc w:val="both"/>
        <w:rPr>
          <w:rFonts w:ascii="Arial" w:hAnsi="Arial" w:cs="Arial"/>
          <w:color w:val="000000" w:themeColor="text1"/>
          <w:sz w:val="28"/>
          <w:szCs w:val="28"/>
        </w:rPr>
      </w:pPr>
    </w:p>
    <w:sectPr w:rsidR="00577317" w:rsidRPr="008A00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317"/>
    <w:rsid w:val="00577317"/>
    <w:rsid w:val="008A000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E165"/>
  <w15:chartTrackingRefBased/>
  <w15:docId w15:val="{574BC9F0-83E5-476D-870D-D5FAF748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5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698</Words>
  <Characters>3845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2021-05-18T09:45:00Z</dcterms:created>
  <dcterms:modified xsi:type="dcterms:W3CDTF">2021-05-18T13:30:00Z</dcterms:modified>
</cp:coreProperties>
</file>