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7FB3" w14:textId="77777777" w:rsidR="000301D3" w:rsidRPr="00572043" w:rsidRDefault="000301D3" w:rsidP="005720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97300"/>
          <w:kern w:val="36"/>
          <w:sz w:val="48"/>
          <w:szCs w:val="48"/>
          <w:lang w:eastAsia="es-ES"/>
        </w:rPr>
      </w:pPr>
      <w:r w:rsidRPr="00572043">
        <w:rPr>
          <w:rFonts w:ascii="Times New Roman" w:eastAsia="Times New Roman" w:hAnsi="Times New Roman" w:cs="Times New Roman"/>
          <w:caps/>
          <w:color w:val="F97300"/>
          <w:kern w:val="36"/>
          <w:sz w:val="48"/>
          <w:szCs w:val="48"/>
          <w:lang w:eastAsia="es-ES"/>
        </w:rPr>
        <w:t>¿Sabe que también va hasta el 30 de Junio la interrupción del cómputo de la duración máxima de los contratos temporales?</w:t>
      </w:r>
    </w:p>
    <w:p w14:paraId="34C59C34" w14:textId="77777777" w:rsidR="000301D3" w:rsidRPr="000301D3" w:rsidRDefault="000301D3" w:rsidP="00572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01D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497C26A" wp14:editId="4D0A123B">
            <wp:extent cx="3048000" cy="2000250"/>
            <wp:effectExtent l="0" t="0" r="0" b="0"/>
            <wp:docPr id="1" name="Imagen 1" descr="img_c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ct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64425" w14:textId="1910BF85" w:rsidR="000301D3" w:rsidRPr="00572043" w:rsidRDefault="000301D3" w:rsidP="00572043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El </w:t>
      </w:r>
      <w:r w:rsidRPr="00572043">
        <w:rPr>
          <w:rFonts w:ascii="Comic Sans MS" w:eastAsia="Times New Roman" w:hAnsi="Comic Sans MS" w:cs="Arial"/>
          <w:b/>
          <w:bCs/>
          <w:color w:val="0084C4"/>
          <w:sz w:val="28"/>
          <w:szCs w:val="28"/>
          <w:lang w:eastAsia="es-ES"/>
        </w:rPr>
        <w:t>Real Decreto-Ley 18/2020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, de 12 de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mayo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, de medidas sociales en defensa del empleo, que establece la prórroga de los ERTEs de fuerza mayor hasta el 30 de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junio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 de 2020, desvinculándolos del Estado de Alarma, también lleva a cabo una reforma, sencilla pero significativa, del Real Decreto-ley 9/2020, de 27 de marzo, por el que se adoptan medidas complementarias, en el ámbito laboral, para paliar los efectos derivados del COVID-19.</w:t>
      </w:r>
    </w:p>
    <w:p w14:paraId="3770FD55" w14:textId="77777777" w:rsidR="000301D3" w:rsidRPr="00572043" w:rsidRDefault="000301D3" w:rsidP="00572043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Se trata de una modificación de la vigencia de los artículos 2 y 5 de dicho Real Decreto-ley, que estaba prevista durante el estado de alarma decretado por el Real Decreto 463/2020 y sus posibles prórrogas; y que ahora mantendrán su vigencia hasta el 30 de junio de 2020.</w:t>
      </w:r>
    </w:p>
    <w:p w14:paraId="04B38112" w14:textId="77777777" w:rsidR="000301D3" w:rsidRPr="00572043" w:rsidRDefault="000301D3" w:rsidP="00572043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El artículo 2 se refiere a la conocida como prohibición de despedir, que en realidad lo que dice es que las causas de fuerza mayor y las causas económicas, técnicas, organizativas y de producción en las que se amparan los ERTEs no pueden justificar de la extinción del contrato de trabajo ni el despido.</w:t>
      </w:r>
    </w:p>
    <w:p w14:paraId="756B452F" w14:textId="0025D685" w:rsidR="000301D3" w:rsidRPr="00572043" w:rsidRDefault="000301D3" w:rsidP="00572043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Dado que el </w:t>
      </w:r>
      <w:r w:rsidRPr="00572043">
        <w:rPr>
          <w:rFonts w:ascii="Comic Sans MS" w:eastAsia="Times New Roman" w:hAnsi="Comic Sans MS" w:cs="Arial"/>
          <w:b/>
          <w:bCs/>
          <w:color w:val="0084C4"/>
          <w:sz w:val="28"/>
          <w:szCs w:val="28"/>
          <w:lang w:eastAsia="es-ES"/>
        </w:rPr>
        <w:t>Real Decreto-Ley 18/2020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, de 12 de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mayo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, mantiene vigentes las causas de los ERTEs hasta el 30 de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junio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, es lógico que la prohibición de utilizar esas causas como justificación del despido se prorrogue hasta dicha fecha.</w:t>
      </w:r>
    </w:p>
    <w:p w14:paraId="2F4A1E60" w14:textId="77777777" w:rsidR="000301D3" w:rsidRPr="00572043" w:rsidRDefault="000301D3" w:rsidP="00572043">
      <w:pPr>
        <w:pBdr>
          <w:top w:val="single" w:sz="6" w:space="0" w:color="423222"/>
          <w:left w:val="single" w:sz="6" w:space="0" w:color="423222"/>
          <w:bottom w:val="single" w:sz="6" w:space="0" w:color="423222"/>
          <w:right w:val="single" w:sz="6" w:space="0" w:color="423222"/>
        </w:pBdr>
        <w:shd w:val="clear" w:color="auto" w:fill="423222"/>
        <w:spacing w:before="100" w:beforeAutospacing="1" w:after="100" w:afterAutospacing="1" w:line="240" w:lineRule="auto"/>
        <w:jc w:val="both"/>
        <w:outlineLvl w:val="1"/>
        <w:rPr>
          <w:rFonts w:ascii="Comic Sans MS" w:eastAsia="Times New Roman" w:hAnsi="Comic Sans MS" w:cs="Times New Roman"/>
          <w:color w:val="FFFFFF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Times New Roman"/>
          <w:color w:val="FFFFFF"/>
          <w:sz w:val="28"/>
          <w:szCs w:val="28"/>
          <w:lang w:eastAsia="es-ES"/>
        </w:rPr>
        <w:t>Sepa que:</w:t>
      </w:r>
    </w:p>
    <w:p w14:paraId="497C1DEB" w14:textId="34E06C98" w:rsidR="000301D3" w:rsidRPr="00572043" w:rsidRDefault="000301D3" w:rsidP="00572043">
      <w:p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i/>
          <w:iCs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i/>
          <w:iCs/>
          <w:color w:val="6C6C6C"/>
          <w:sz w:val="28"/>
          <w:szCs w:val="28"/>
          <w:lang w:eastAsia="es-ES"/>
        </w:rPr>
        <w:t>Esta prohibición de despedir es distinta de la referida al </w:t>
      </w:r>
      <w:r w:rsidRPr="00572043">
        <w:rPr>
          <w:rFonts w:ascii="Comic Sans MS" w:eastAsia="Times New Roman" w:hAnsi="Comic Sans MS" w:cs="Arial"/>
          <w:b/>
          <w:bCs/>
          <w:i/>
          <w:iCs/>
          <w:color w:val="0084C4"/>
          <w:sz w:val="28"/>
          <w:szCs w:val="28"/>
          <w:lang w:eastAsia="es-ES"/>
        </w:rPr>
        <w:t>compromiso de la empresa de mantener el empleo</w:t>
      </w:r>
      <w:r w:rsidRPr="00572043">
        <w:rPr>
          <w:rFonts w:ascii="Comic Sans MS" w:eastAsia="Times New Roman" w:hAnsi="Comic Sans MS" w:cs="Arial"/>
          <w:i/>
          <w:iCs/>
          <w:color w:val="6C6C6C"/>
          <w:sz w:val="28"/>
          <w:szCs w:val="28"/>
          <w:lang w:eastAsia="es-ES"/>
        </w:rPr>
        <w:t> durante el plazo de seis meses para las empresas que se hayan exonerado del pago de la aportación empresarial a la Seguridad Social y que hemos analizado en otros </w:t>
      </w:r>
      <w:hyperlink r:id="rId5" w:history="1">
        <w:r w:rsidRPr="00572043">
          <w:rPr>
            <w:rFonts w:ascii="Comic Sans MS" w:eastAsia="Times New Roman" w:hAnsi="Comic Sans MS" w:cs="Arial"/>
            <w:b/>
            <w:bCs/>
            <w:i/>
            <w:iCs/>
            <w:color w:val="0084C4"/>
            <w:sz w:val="28"/>
            <w:szCs w:val="28"/>
            <w:lang w:eastAsia="es-ES"/>
          </w:rPr>
          <w:t>comentarios</w:t>
        </w:r>
      </w:hyperlink>
      <w:r w:rsidRPr="00572043">
        <w:rPr>
          <w:rFonts w:ascii="Comic Sans MS" w:eastAsia="Times New Roman" w:hAnsi="Comic Sans MS" w:cs="Arial"/>
          <w:i/>
          <w:iCs/>
          <w:color w:val="6C6C6C"/>
          <w:sz w:val="28"/>
          <w:szCs w:val="28"/>
          <w:lang w:eastAsia="es-ES"/>
        </w:rPr>
        <w:t>.</w:t>
      </w:r>
    </w:p>
    <w:p w14:paraId="3994A06E" w14:textId="097E12A0" w:rsidR="000301D3" w:rsidRPr="00572043" w:rsidRDefault="000301D3" w:rsidP="00572043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El Artículo 5, por su parte, se refiere a </w:t>
      </w:r>
      <w:r w:rsidRPr="00572043">
        <w:rPr>
          <w:rFonts w:ascii="Comic Sans MS" w:eastAsia="Times New Roman" w:hAnsi="Comic Sans MS" w:cs="Arial"/>
          <w:b/>
          <w:bCs/>
          <w:color w:val="0084C4"/>
          <w:sz w:val="28"/>
          <w:szCs w:val="28"/>
          <w:lang w:eastAsia="es-ES"/>
        </w:rPr>
        <w:t>la interrupción del cómputo de la duración máxima de los contratos temporales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.</w:t>
      </w:r>
    </w:p>
    <w:p w14:paraId="15DB708F" w14:textId="02C195E4" w:rsidR="000301D3" w:rsidRPr="00572043" w:rsidRDefault="000301D3" w:rsidP="00572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Los contratos temporales, incluidos los formativos, de relevo e interinidad, de trabajadores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incluidos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 en un ERTE quedarán interrumpidos en el cómputo, tanto de la duración de estos contratos, como de los periodos de referencia equivalentes al periodo suspendido, en cada una de estas modalidades contractuales.</w:t>
      </w:r>
    </w:p>
    <w:p w14:paraId="1E79D433" w14:textId="31319814" w:rsidR="000301D3" w:rsidRPr="00572043" w:rsidRDefault="000301D3" w:rsidP="005720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Inicialmente esta interrupción del plazo de duración estaba vigente mientras lo estuviera el Estado de Alarma, pero, dado que los ERTEs se han prorrogado hasta el 30 de </w:t>
      </w:r>
      <w:r w:rsidR="00572043"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junio</w:t>
      </w:r>
      <w:r w:rsidRPr="00572043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, es lógico que la misma se mantenga también hasta dicha fecha.</w:t>
      </w:r>
    </w:p>
    <w:p w14:paraId="42CE6F7C" w14:textId="0C6B6C56" w:rsidR="000301D3" w:rsidRPr="00572043" w:rsidRDefault="000301D3" w:rsidP="00572043">
      <w:pPr>
        <w:shd w:val="clear" w:color="auto" w:fill="423222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</w:pPr>
      <w:r w:rsidRPr="00572043"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  <w:t xml:space="preserve">Finalmente, señalar </w:t>
      </w:r>
      <w:r w:rsidR="00572043" w:rsidRPr="00572043"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  <w:t>que,</w:t>
      </w:r>
      <w:r w:rsidRPr="00572043"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  <w:t xml:space="preserve"> si el ERTE finalizase antes del 30 de </w:t>
      </w:r>
      <w:r w:rsidR="00572043" w:rsidRPr="00572043"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  <w:t>junio</w:t>
      </w:r>
      <w:r w:rsidRPr="00572043">
        <w:rPr>
          <w:rFonts w:ascii="Comic Sans MS" w:eastAsia="Times New Roman" w:hAnsi="Comic Sans MS" w:cs="Arial"/>
          <w:color w:val="FFFFFF" w:themeColor="background1"/>
          <w:sz w:val="28"/>
          <w:szCs w:val="28"/>
          <w:lang w:eastAsia="es-ES"/>
        </w:rPr>
        <w:t xml:space="preserve"> porque la empresa incorporase a todos los trabajadores a la actividad, los efectos de estas obligaciones se iniciarían en ese momento.</w:t>
      </w:r>
    </w:p>
    <w:p w14:paraId="34F38540" w14:textId="77777777" w:rsidR="000301D3" w:rsidRPr="00572043" w:rsidRDefault="000301D3" w:rsidP="00572043">
      <w:pPr>
        <w:jc w:val="both"/>
        <w:rPr>
          <w:rFonts w:ascii="Comic Sans MS" w:hAnsi="Comic Sans MS"/>
          <w:sz w:val="28"/>
          <w:szCs w:val="28"/>
        </w:rPr>
      </w:pPr>
    </w:p>
    <w:sectPr w:rsidR="000301D3" w:rsidRPr="0057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3"/>
    <w:rsid w:val="000301D3"/>
    <w:rsid w:val="0057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D95"/>
  <w15:chartTrackingRefBased/>
  <w15:docId w15:val="{FCB6CD61-DBFF-4E1E-93CA-9850B17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ntable.com/boletin/B/articulos/computo_seis_meses_mantenimiento_empleo_y_desafectacion_trabajador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2020-05-19T10:35:00Z</dcterms:created>
  <dcterms:modified xsi:type="dcterms:W3CDTF">2020-05-19T11:04:00Z</dcterms:modified>
</cp:coreProperties>
</file>