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7DE0" w14:textId="77777777" w:rsidR="0076761C" w:rsidRPr="00125F85" w:rsidRDefault="0076761C" w:rsidP="00125F85">
      <w:pPr>
        <w:pStyle w:val="Ttulo1"/>
        <w:shd w:val="clear" w:color="auto" w:fill="FFFFFF"/>
        <w:jc w:val="center"/>
        <w:rPr>
          <w:b w:val="0"/>
          <w:bCs w:val="0"/>
          <w:color w:val="F97300"/>
          <w:sz w:val="44"/>
          <w:szCs w:val="44"/>
        </w:rPr>
      </w:pPr>
      <w:r w:rsidRPr="00125F85">
        <w:rPr>
          <w:b w:val="0"/>
          <w:bCs w:val="0"/>
          <w:color w:val="F97300"/>
          <w:sz w:val="44"/>
          <w:szCs w:val="44"/>
        </w:rPr>
        <w:t>¿Cómo se calcula la indemnización de despido de los trabajadores fijos-discontinuos?</w:t>
      </w:r>
    </w:p>
    <w:p w14:paraId="31603DD4" w14:textId="77777777" w:rsidR="0076761C" w:rsidRPr="00125F85" w:rsidRDefault="0076761C" w:rsidP="0076761C">
      <w:pPr>
        <w:pStyle w:val="NormalWeb"/>
        <w:shd w:val="clear" w:color="auto" w:fill="FFFFFF"/>
        <w:spacing w:before="0" w:after="0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La relación laboral de los </w:t>
      </w:r>
      <w:r w:rsidRPr="00125F85">
        <w:rPr>
          <w:rStyle w:val="negrita"/>
          <w:rFonts w:ascii="Comic Sans MS" w:hAnsi="Comic Sans MS" w:cs="Arial"/>
          <w:color w:val="6C6C6C"/>
        </w:rPr>
        <w:t>trabajadores fijos-discontinuos</w:t>
      </w:r>
      <w:r w:rsidRPr="00125F85">
        <w:rPr>
          <w:rFonts w:ascii="Comic Sans MS" w:hAnsi="Comic Sans MS" w:cs="Arial"/>
          <w:color w:val="6C6C6C"/>
        </w:rPr>
        <w:t> siempre es una fuente inagotable de dudas, dada su peculiar configuración y la tendencia generalizada a compararla con una relación laboral ordinaria.</w:t>
      </w:r>
    </w:p>
    <w:p w14:paraId="5430B832" w14:textId="77777777" w:rsidR="0076761C" w:rsidRPr="00125F85" w:rsidRDefault="0076761C" w:rsidP="0076761C">
      <w:pPr>
        <w:pStyle w:val="NormalWeb"/>
        <w:shd w:val="clear" w:color="auto" w:fill="FFFFFF"/>
        <w:spacing w:before="0" w:after="0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Una de esas dudas es la polémica cuestión del cálculo de </w:t>
      </w:r>
      <w:r w:rsidRPr="00125F85">
        <w:rPr>
          <w:rStyle w:val="negrita"/>
          <w:rFonts w:ascii="Comic Sans MS" w:hAnsi="Comic Sans MS" w:cs="Arial"/>
          <w:color w:val="6C6C6C"/>
        </w:rPr>
        <w:t>la indemnización por despido en el caso de un trabajador que tiene suscrita esta modalidad de contrato</w:t>
      </w:r>
      <w:r w:rsidRPr="00125F85">
        <w:rPr>
          <w:rFonts w:ascii="Comic Sans MS" w:hAnsi="Comic Sans MS" w:cs="Arial"/>
          <w:color w:val="6C6C6C"/>
        </w:rPr>
        <w:t>, dada la peculiaridad de que, mientras la relación laboral pervive, el trabajador tiene </w:t>
      </w:r>
      <w:r w:rsidRPr="00125F85">
        <w:rPr>
          <w:rStyle w:val="negrita"/>
          <w:rFonts w:ascii="Comic Sans MS" w:hAnsi="Comic Sans MS" w:cs="Arial"/>
          <w:color w:val="6C6C6C"/>
        </w:rPr>
        <w:t>periodos de actividad</w:t>
      </w:r>
      <w:r w:rsidRPr="00125F85">
        <w:rPr>
          <w:rFonts w:ascii="Comic Sans MS" w:hAnsi="Comic Sans MS" w:cs="Arial"/>
          <w:color w:val="6C6C6C"/>
        </w:rPr>
        <w:t> en la empresa y </w:t>
      </w:r>
      <w:r w:rsidRPr="00125F85">
        <w:rPr>
          <w:rStyle w:val="negrita"/>
          <w:rFonts w:ascii="Comic Sans MS" w:hAnsi="Comic Sans MS" w:cs="Arial"/>
          <w:color w:val="6C6C6C"/>
        </w:rPr>
        <w:t>periodos de inactividad</w:t>
      </w:r>
      <w:r w:rsidRPr="00125F85">
        <w:rPr>
          <w:rFonts w:ascii="Comic Sans MS" w:hAnsi="Comic Sans MS" w:cs="Arial"/>
          <w:color w:val="6C6C6C"/>
        </w:rPr>
        <w:t>.</w:t>
      </w:r>
    </w:p>
    <w:p w14:paraId="6C172942" w14:textId="48A7ED89" w:rsidR="0076761C" w:rsidRPr="00125F85" w:rsidRDefault="0076761C" w:rsidP="0076761C">
      <w:pPr>
        <w:pStyle w:val="NormalWeb"/>
        <w:shd w:val="clear" w:color="auto" w:fill="FFFFFF"/>
        <w:spacing w:before="0" w:after="0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Durante los periodos de inactividad el trabajador no presta servicios a la empresa e incluso, si cumple los requisitos para ello, puede percibir la prestación o el subsidio por desempleo</w:t>
      </w:r>
      <w:r w:rsidR="00125F85">
        <w:rPr>
          <w:rFonts w:ascii="Comic Sans MS" w:hAnsi="Comic Sans MS" w:cs="Arial"/>
          <w:color w:val="6C6C6C"/>
        </w:rPr>
        <w:t>,</w:t>
      </w:r>
      <w:r w:rsidRPr="00125F85">
        <w:rPr>
          <w:rFonts w:ascii="Comic Sans MS" w:hAnsi="Comic Sans MS" w:cs="Arial"/>
          <w:color w:val="6C6C6C"/>
        </w:rPr>
        <w:t xml:space="preserve"> </w:t>
      </w:r>
      <w:proofErr w:type="gramStart"/>
      <w:r w:rsidRPr="00125F85">
        <w:rPr>
          <w:rFonts w:ascii="Comic Sans MS" w:hAnsi="Comic Sans MS" w:cs="Arial"/>
          <w:color w:val="6C6C6C"/>
        </w:rPr>
        <w:t>pero</w:t>
      </w:r>
      <w:proofErr w:type="gramEnd"/>
      <w:r w:rsidRPr="00125F85">
        <w:rPr>
          <w:rFonts w:ascii="Comic Sans MS" w:hAnsi="Comic Sans MS" w:cs="Arial"/>
          <w:color w:val="6C6C6C"/>
        </w:rPr>
        <w:t xml:space="preserve"> sin embargo, </w:t>
      </w:r>
      <w:r w:rsidRPr="00125F85">
        <w:rPr>
          <w:rStyle w:val="negrita"/>
          <w:rFonts w:ascii="Comic Sans MS" w:hAnsi="Comic Sans MS" w:cs="Arial"/>
          <w:color w:val="6C6C6C"/>
        </w:rPr>
        <w:t>el vínculo laboral con la empresa no se ha roto y sigue unido a la misma</w:t>
      </w:r>
      <w:r w:rsidRPr="00125F85">
        <w:rPr>
          <w:rFonts w:ascii="Comic Sans MS" w:hAnsi="Comic Sans MS" w:cs="Arial"/>
          <w:color w:val="6C6C6C"/>
        </w:rPr>
        <w:t>, que debe realizarle el oportuno llamamiento cuando se inicie el nuevo periodo de actividad.</w:t>
      </w:r>
    </w:p>
    <w:p w14:paraId="4F96B3AC" w14:textId="77777777" w:rsidR="0076761C" w:rsidRPr="00125F85" w:rsidRDefault="0076761C" w:rsidP="0076761C">
      <w:pPr>
        <w:pStyle w:val="NormalWeb"/>
        <w:shd w:val="clear" w:color="auto" w:fill="FFFFFF"/>
        <w:spacing w:before="0" w:after="0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Ello lleva a plantearse, cuando se extingue la relación laboral, </w:t>
      </w:r>
      <w:r w:rsidRPr="00125F85">
        <w:rPr>
          <w:rStyle w:val="negrita"/>
          <w:rFonts w:ascii="Comic Sans MS" w:hAnsi="Comic Sans MS" w:cs="Arial"/>
          <w:color w:val="6C6C6C"/>
        </w:rPr>
        <w:t>si la existencia de periodos de inactividad tiene incidencia en el cálculo de la indemnización de despido</w:t>
      </w:r>
      <w:r w:rsidRPr="00125F85">
        <w:rPr>
          <w:rFonts w:ascii="Comic Sans MS" w:hAnsi="Comic Sans MS" w:cs="Arial"/>
          <w:color w:val="6C6C6C"/>
        </w:rPr>
        <w:t>, especialmente en cuanto al factor de la antigüedad se refiere; ya que las indemnizaciones por extinción de la relación laboral tienen dos variables: </w:t>
      </w:r>
      <w:r w:rsidRPr="00125F85">
        <w:rPr>
          <w:rStyle w:val="negrita"/>
          <w:rFonts w:ascii="Comic Sans MS" w:hAnsi="Comic Sans MS" w:cs="Arial"/>
          <w:color w:val="6C6C6C"/>
        </w:rPr>
        <w:t>el salario y el tiempo trabajado</w:t>
      </w:r>
      <w:r w:rsidRPr="00125F85">
        <w:rPr>
          <w:rFonts w:ascii="Comic Sans MS" w:hAnsi="Comic Sans MS" w:cs="Arial"/>
          <w:color w:val="6C6C6C"/>
        </w:rPr>
        <w:t>.</w:t>
      </w:r>
    </w:p>
    <w:p w14:paraId="6377C07F" w14:textId="77777777" w:rsidR="0076761C" w:rsidRPr="00125F85" w:rsidRDefault="0076761C" w:rsidP="0076761C">
      <w:pPr>
        <w:pStyle w:val="Ttulo2"/>
        <w:pBdr>
          <w:top w:val="single" w:sz="6" w:space="0" w:color="423222"/>
          <w:left w:val="single" w:sz="6" w:space="0" w:color="423222"/>
          <w:bottom w:val="single" w:sz="6" w:space="0" w:color="423222"/>
          <w:right w:val="single" w:sz="6" w:space="0" w:color="423222"/>
        </w:pBdr>
        <w:shd w:val="clear" w:color="auto" w:fill="423222"/>
        <w:rPr>
          <w:rFonts w:ascii="Comic Sans MS" w:hAnsi="Comic Sans MS"/>
          <w:b w:val="0"/>
          <w:bCs w:val="0"/>
          <w:color w:val="FFFFFF"/>
          <w:sz w:val="24"/>
          <w:szCs w:val="24"/>
        </w:rPr>
      </w:pPr>
      <w:r w:rsidRPr="00125F85">
        <w:rPr>
          <w:rFonts w:ascii="Comic Sans MS" w:hAnsi="Comic Sans MS"/>
          <w:b w:val="0"/>
          <w:bCs w:val="0"/>
          <w:color w:val="FFFFFF"/>
          <w:sz w:val="24"/>
          <w:szCs w:val="24"/>
        </w:rPr>
        <w:t>Sepa que:</w:t>
      </w:r>
    </w:p>
    <w:p w14:paraId="0420C160" w14:textId="77777777" w:rsidR="0076761C" w:rsidRPr="00125F85" w:rsidRDefault="0076761C" w:rsidP="0076761C">
      <w:pPr>
        <w:pStyle w:val="justificado"/>
        <w:shd w:val="clear" w:color="auto" w:fill="FDF4EB"/>
        <w:spacing w:before="0" w:beforeAutospacing="0" w:after="0" w:afterAutospacing="0"/>
        <w:jc w:val="both"/>
        <w:rPr>
          <w:rFonts w:ascii="Comic Sans MS" w:hAnsi="Comic Sans MS" w:cs="Arial"/>
          <w:i/>
          <w:iCs/>
          <w:color w:val="6C6C6C"/>
        </w:rPr>
      </w:pPr>
      <w:r w:rsidRPr="00125F85">
        <w:rPr>
          <w:rFonts w:ascii="Comic Sans MS" w:hAnsi="Comic Sans MS" w:cs="Arial"/>
          <w:i/>
          <w:iCs/>
          <w:color w:val="6C6C6C"/>
        </w:rPr>
        <w:t>Sobre esta cuestión se ha pronunciado el Tribunal Supremo, en </w:t>
      </w:r>
      <w:r w:rsidRPr="00125F85">
        <w:rPr>
          <w:rStyle w:val="negrita"/>
          <w:rFonts w:ascii="Comic Sans MS" w:hAnsi="Comic Sans MS" w:cs="Arial"/>
          <w:i/>
          <w:iCs/>
          <w:color w:val="6C6C6C"/>
        </w:rPr>
        <w:t>Sentencia de la Sala de lo Social de 30 de Julio de 2020</w:t>
      </w:r>
      <w:r w:rsidRPr="00125F85">
        <w:rPr>
          <w:rFonts w:ascii="Comic Sans MS" w:hAnsi="Comic Sans MS" w:cs="Arial"/>
          <w:i/>
          <w:iCs/>
          <w:color w:val="6C6C6C"/>
        </w:rPr>
        <w:t>, dictada en un Recurso de Casación en Unificación de Doctrina; como veremos en este comentario.</w:t>
      </w:r>
    </w:p>
    <w:p w14:paraId="77A72F4D" w14:textId="77777777" w:rsidR="0076761C" w:rsidRPr="00125F85" w:rsidRDefault="0076761C" w:rsidP="0076761C">
      <w:pPr>
        <w:pStyle w:val="NormalWeb"/>
        <w:shd w:val="clear" w:color="auto" w:fill="FFFFFF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Por centrar la cuestión, diremos que existen dos criterios de cálculo de la indemnización de despido en este tipo de contratos:</w:t>
      </w:r>
    </w:p>
    <w:p w14:paraId="63CE9C59" w14:textId="77777777" w:rsidR="0076761C" w:rsidRPr="00125F85" w:rsidRDefault="0076761C" w:rsidP="0076761C">
      <w:pPr>
        <w:pStyle w:val="NormalWeb"/>
        <w:numPr>
          <w:ilvl w:val="0"/>
          <w:numId w:val="1"/>
        </w:numPr>
        <w:shd w:val="clear" w:color="auto" w:fill="FFFFFF"/>
        <w:spacing w:before="0" w:after="0"/>
        <w:ind w:firstLine="0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El primero es el que </w:t>
      </w:r>
      <w:r w:rsidRPr="00125F85">
        <w:rPr>
          <w:rStyle w:val="negrita"/>
          <w:rFonts w:ascii="Comic Sans MS" w:hAnsi="Comic Sans MS" w:cs="Arial"/>
          <w:color w:val="6C6C6C"/>
        </w:rPr>
        <w:t>computa como antigüedad toda la duración del contrato</w:t>
      </w:r>
      <w:r w:rsidRPr="00125F85">
        <w:rPr>
          <w:rFonts w:ascii="Comic Sans MS" w:hAnsi="Comic Sans MS" w:cs="Arial"/>
          <w:color w:val="6C6C6C"/>
        </w:rPr>
        <w:t> </w:t>
      </w:r>
      <w:r w:rsidRPr="00125F85">
        <w:rPr>
          <w:rStyle w:val="negrita"/>
          <w:rFonts w:ascii="Comic Sans MS" w:hAnsi="Comic Sans MS" w:cs="Arial"/>
          <w:color w:val="6C6C6C"/>
        </w:rPr>
        <w:t>- incluyendo periodos de actividad y de inactividad -</w:t>
      </w:r>
      <w:r w:rsidRPr="00125F85">
        <w:rPr>
          <w:rFonts w:ascii="Comic Sans MS" w:hAnsi="Comic Sans MS" w:cs="Arial"/>
          <w:color w:val="6C6C6C"/>
        </w:rPr>
        <w:t>, por entender que, aunque existan periodos de inactividad, el vínculo laboral no se rompe durante la inactividad y el contrato de trabajo sigue vigente.</w:t>
      </w:r>
    </w:p>
    <w:p w14:paraId="0850FA72" w14:textId="77777777" w:rsidR="0076761C" w:rsidRPr="00125F85" w:rsidRDefault="0076761C" w:rsidP="0076761C">
      <w:pPr>
        <w:pStyle w:val="NormalWeb"/>
        <w:numPr>
          <w:ilvl w:val="0"/>
          <w:numId w:val="1"/>
        </w:numPr>
        <w:shd w:val="clear" w:color="auto" w:fill="FFFFFF"/>
        <w:spacing w:before="0" w:after="0"/>
        <w:ind w:firstLine="0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El segundo es el que </w:t>
      </w:r>
      <w:r w:rsidRPr="00125F85">
        <w:rPr>
          <w:rStyle w:val="negrita"/>
          <w:rFonts w:ascii="Comic Sans MS" w:hAnsi="Comic Sans MS" w:cs="Arial"/>
          <w:color w:val="6C6C6C"/>
        </w:rPr>
        <w:t>solo toma en consideración los periodos de actividad y descuenta los de inactividad</w:t>
      </w:r>
      <w:r w:rsidRPr="00125F85">
        <w:rPr>
          <w:rFonts w:ascii="Comic Sans MS" w:hAnsi="Comic Sans MS" w:cs="Arial"/>
          <w:color w:val="6C6C6C"/>
        </w:rPr>
        <w:t xml:space="preserve"> porque la variable prevista en </w:t>
      </w:r>
      <w:r w:rsidRPr="00125F85">
        <w:rPr>
          <w:rFonts w:ascii="Comic Sans MS" w:hAnsi="Comic Sans MS" w:cs="Arial"/>
          <w:color w:val="6C6C6C"/>
        </w:rPr>
        <w:lastRenderedPageBreak/>
        <w:t>la ley para el cálculo de las indemnizaciones laborales habla de </w:t>
      </w:r>
      <w:r w:rsidRPr="00125F85">
        <w:rPr>
          <w:rStyle w:val="negrita"/>
          <w:rFonts w:ascii="Comic Sans MS" w:hAnsi="Comic Sans MS" w:cs="Arial"/>
          <w:color w:val="6C6C6C"/>
        </w:rPr>
        <w:t>"tiempo trabajado"</w:t>
      </w:r>
      <w:r w:rsidRPr="00125F85">
        <w:rPr>
          <w:rFonts w:ascii="Comic Sans MS" w:hAnsi="Comic Sans MS" w:cs="Arial"/>
          <w:color w:val="6C6C6C"/>
        </w:rPr>
        <w:t>.</w:t>
      </w:r>
    </w:p>
    <w:p w14:paraId="25A4A169" w14:textId="77777777" w:rsidR="0076761C" w:rsidRPr="00125F85" w:rsidRDefault="0076761C" w:rsidP="0076761C">
      <w:pPr>
        <w:pStyle w:val="NormalWeb"/>
        <w:shd w:val="clear" w:color="auto" w:fill="FFFFFF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 xml:space="preserve">El primero es el que aplica la sentencia recurrida, dictada por el </w:t>
      </w:r>
      <w:proofErr w:type="spellStart"/>
      <w:r w:rsidRPr="00125F85">
        <w:rPr>
          <w:rFonts w:ascii="Comic Sans MS" w:hAnsi="Comic Sans MS" w:cs="Arial"/>
          <w:color w:val="6C6C6C"/>
        </w:rPr>
        <w:t>TSJ</w:t>
      </w:r>
      <w:proofErr w:type="spellEnd"/>
      <w:r w:rsidRPr="00125F85">
        <w:rPr>
          <w:rFonts w:ascii="Comic Sans MS" w:hAnsi="Comic Sans MS" w:cs="Arial"/>
          <w:color w:val="6C6C6C"/>
        </w:rPr>
        <w:t xml:space="preserve"> de Castilla-La Mancha</w:t>
      </w:r>
    </w:p>
    <w:p w14:paraId="37D10340" w14:textId="77777777" w:rsidR="0076761C" w:rsidRPr="00125F85" w:rsidRDefault="0076761C" w:rsidP="0076761C">
      <w:pPr>
        <w:pStyle w:val="NormalWeb"/>
        <w:shd w:val="clear" w:color="auto" w:fill="FFFFFF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El segundo es el que, como veremos a continuación, aplica el Tribunal Supremo.</w:t>
      </w:r>
    </w:p>
    <w:p w14:paraId="2441A3B2" w14:textId="46792E43" w:rsidR="0076761C" w:rsidRPr="00125F85" w:rsidRDefault="0076761C" w:rsidP="0076761C">
      <w:pPr>
        <w:pStyle w:val="NormalWeb"/>
        <w:shd w:val="clear" w:color="auto" w:fill="FDF4EB"/>
        <w:spacing w:before="0" w:after="0"/>
        <w:jc w:val="both"/>
        <w:rPr>
          <w:rFonts w:ascii="Comic Sans MS" w:hAnsi="Comic Sans MS" w:cs="Arial"/>
          <w:i/>
          <w:iCs/>
          <w:color w:val="6C6C6C"/>
        </w:rPr>
      </w:pPr>
      <w:r w:rsidRPr="00125F85">
        <w:rPr>
          <w:rFonts w:ascii="Comic Sans MS" w:hAnsi="Comic Sans MS" w:cs="Arial"/>
          <w:i/>
          <w:iCs/>
          <w:color w:val="6C6C6C"/>
        </w:rPr>
        <w:t>En el caso concreto analizado en la </w:t>
      </w:r>
      <w:r w:rsidRPr="00125F85">
        <w:rPr>
          <w:rStyle w:val="negrita"/>
          <w:rFonts w:ascii="Comic Sans MS" w:hAnsi="Comic Sans MS" w:cs="Arial"/>
          <w:i/>
          <w:iCs/>
          <w:color w:val="6C6C6C"/>
        </w:rPr>
        <w:t>Sentencia de la Sala de lo Social 30 de Julio de 2020</w:t>
      </w:r>
      <w:r w:rsidRPr="00125F85">
        <w:rPr>
          <w:rFonts w:ascii="Comic Sans MS" w:hAnsi="Comic Sans MS" w:cs="Arial"/>
          <w:i/>
          <w:iCs/>
          <w:color w:val="6C6C6C"/>
        </w:rPr>
        <w:t> se trata de una indemnización por despido improcedente; y el T</w:t>
      </w:r>
      <w:r w:rsidR="00125F85">
        <w:rPr>
          <w:rFonts w:ascii="Comic Sans MS" w:hAnsi="Comic Sans MS" w:cs="Arial"/>
          <w:i/>
          <w:iCs/>
          <w:color w:val="6C6C6C"/>
        </w:rPr>
        <w:t>r</w:t>
      </w:r>
      <w:r w:rsidRPr="00125F85">
        <w:rPr>
          <w:rFonts w:ascii="Comic Sans MS" w:hAnsi="Comic Sans MS" w:cs="Arial"/>
          <w:i/>
          <w:iCs/>
          <w:color w:val="6C6C6C"/>
        </w:rPr>
        <w:t>ibunal Supremo señala que el Estatuto de los Trabajadores establece que el importe de la indemnización viene determinado por el salario del trabajador en relación con el </w:t>
      </w:r>
      <w:r w:rsidRPr="00125F85">
        <w:rPr>
          <w:rStyle w:val="negrita"/>
          <w:rFonts w:ascii="Comic Sans MS" w:hAnsi="Comic Sans MS" w:cs="Arial"/>
          <w:i/>
          <w:iCs/>
          <w:color w:val="6C6C6C"/>
        </w:rPr>
        <w:t>"tiempo de servicio"</w:t>
      </w:r>
      <w:r w:rsidRPr="00125F85">
        <w:rPr>
          <w:rFonts w:ascii="Comic Sans MS" w:hAnsi="Comic Sans MS" w:cs="Arial"/>
          <w:i/>
          <w:iCs/>
          <w:color w:val="6C6C6C"/>
        </w:rPr>
        <w:t>. No obstante, entendemos que este criterio es aplicable a otras indemnizaciones por extinción de la relación laboral, como, por ejemplo, el despido objetivo.</w:t>
      </w:r>
    </w:p>
    <w:p w14:paraId="0531AFF2" w14:textId="77777777" w:rsidR="0076761C" w:rsidRPr="00125F85" w:rsidRDefault="0076761C" w:rsidP="0076761C">
      <w:pPr>
        <w:pStyle w:val="NormalWeb"/>
        <w:shd w:val="clear" w:color="auto" w:fill="FDF4EB"/>
        <w:spacing w:before="0" w:beforeAutospacing="0" w:after="0" w:afterAutospacing="0"/>
        <w:jc w:val="both"/>
        <w:rPr>
          <w:rFonts w:ascii="Comic Sans MS" w:hAnsi="Comic Sans MS" w:cs="Arial"/>
          <w:i/>
          <w:iCs/>
          <w:color w:val="6C6C6C"/>
        </w:rPr>
      </w:pPr>
      <w:r w:rsidRPr="00125F85">
        <w:rPr>
          <w:rFonts w:ascii="Comic Sans MS" w:hAnsi="Comic Sans MS" w:cs="Arial"/>
          <w:i/>
          <w:iCs/>
          <w:color w:val="6C6C6C"/>
        </w:rPr>
        <w:t>Por ello, señala el Tribunal, si la retribución del trabajador se multiplica por todo el tiempo </w:t>
      </w:r>
      <w:r w:rsidRPr="00125F85">
        <w:rPr>
          <w:rStyle w:val="negrita"/>
          <w:rFonts w:ascii="Comic Sans MS" w:hAnsi="Comic Sans MS" w:cs="Arial"/>
          <w:i/>
          <w:iCs/>
          <w:color w:val="6C6C6C"/>
        </w:rPr>
        <w:t>- periodos de actividad y de inactividad -</w:t>
      </w:r>
      <w:r w:rsidRPr="00125F85">
        <w:rPr>
          <w:rFonts w:ascii="Comic Sans MS" w:hAnsi="Comic Sans MS" w:cs="Arial"/>
          <w:i/>
          <w:iCs/>
          <w:color w:val="6C6C6C"/>
        </w:rPr>
        <w:t>, </w:t>
      </w:r>
      <w:r w:rsidRPr="00125F85">
        <w:rPr>
          <w:rStyle w:val="negrita"/>
          <w:rFonts w:ascii="Comic Sans MS" w:hAnsi="Comic Sans MS" w:cs="Arial"/>
          <w:i/>
          <w:iCs/>
          <w:color w:val="6C6C6C"/>
        </w:rPr>
        <w:t>la cuantía resultante no guardaría nunca relación proporcional alguna con el trabajo efectivamente realizado</w:t>
      </w:r>
      <w:r w:rsidRPr="00125F85">
        <w:rPr>
          <w:rFonts w:ascii="Comic Sans MS" w:hAnsi="Comic Sans MS" w:cs="Arial"/>
          <w:i/>
          <w:iCs/>
          <w:color w:val="6C6C6C"/>
        </w:rPr>
        <w:t> por el empleado en la empresa.</w:t>
      </w:r>
    </w:p>
    <w:p w14:paraId="5E3786F1" w14:textId="77777777" w:rsidR="0076761C" w:rsidRPr="00125F85" w:rsidRDefault="0076761C" w:rsidP="0076761C">
      <w:pPr>
        <w:pStyle w:val="NormalWeb"/>
        <w:shd w:val="clear" w:color="auto" w:fill="FFFFFF"/>
        <w:spacing w:before="0" w:after="0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t>En resumen, </w:t>
      </w:r>
      <w:r w:rsidRPr="00125F85">
        <w:rPr>
          <w:rStyle w:val="negrita"/>
          <w:rFonts w:ascii="Comic Sans MS" w:hAnsi="Comic Sans MS" w:cs="Arial"/>
          <w:color w:val="6C6C6C"/>
        </w:rPr>
        <w:t>la indemnización de despido del trabajador fijo-discontinuo solo tomará en consideración los periodos de actividad</w:t>
      </w:r>
      <w:r w:rsidRPr="00125F85">
        <w:rPr>
          <w:rFonts w:ascii="Comic Sans MS" w:hAnsi="Comic Sans MS" w:cs="Arial"/>
          <w:color w:val="6C6C6C"/>
        </w:rPr>
        <w:t> y no todos los días naturales que dure el vínculo contractual con la empresa.</w:t>
      </w:r>
    </w:p>
    <w:p w14:paraId="1340B5F4" w14:textId="739C7629" w:rsidR="0076761C" w:rsidRPr="00125F85" w:rsidRDefault="0076761C" w:rsidP="0076761C">
      <w:pPr>
        <w:pStyle w:val="NormalWeb"/>
        <w:shd w:val="clear" w:color="auto" w:fill="FFFFFF"/>
        <w:spacing w:before="0" w:after="0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noProof/>
          <w:color w:val="6C6C6C"/>
        </w:rPr>
        <w:drawing>
          <wp:inline distT="0" distB="0" distL="0" distR="0" wp14:anchorId="4C490E82" wp14:editId="56A0D872">
            <wp:extent cx="762635" cy="841375"/>
            <wp:effectExtent l="0" t="0" r="0" b="0"/>
            <wp:docPr id="1" name="Imagen 1" descr="Time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-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F85">
        <w:rPr>
          <w:rFonts w:ascii="Comic Sans MS" w:hAnsi="Comic Sans MS" w:cs="Arial"/>
          <w:color w:val="6C6C6C"/>
        </w:rPr>
        <w:t>Y añade el Alto Tribunal que ello </w:t>
      </w:r>
      <w:r w:rsidRPr="00125F85">
        <w:rPr>
          <w:rStyle w:val="negrita"/>
          <w:rFonts w:ascii="Comic Sans MS" w:hAnsi="Comic Sans MS" w:cs="Arial"/>
          <w:color w:val="6C6C6C"/>
        </w:rPr>
        <w:t>no genera ningún tipo de discriminación</w:t>
      </w:r>
      <w:r w:rsidRPr="00125F85">
        <w:rPr>
          <w:rFonts w:ascii="Comic Sans MS" w:hAnsi="Comic Sans MS" w:cs="Arial"/>
          <w:color w:val="6C6C6C"/>
        </w:rPr>
        <w:t>, porque durante los periodos de inactividad el trabajador fijo-discontinuo puede, en su caso, acceder a prestaciones o subsidios por desempleo y puede también llevar a cabo prestación laboral para otro empleador; lo que no puede hacer un trabajador con una modalidad de contrato distinta.</w:t>
      </w:r>
    </w:p>
    <w:p w14:paraId="73B9E683" w14:textId="77777777" w:rsidR="00125F85" w:rsidRDefault="00125F85" w:rsidP="0076761C">
      <w:pPr>
        <w:pStyle w:val="NormalWeb"/>
        <w:shd w:val="clear" w:color="auto" w:fill="FFFFFF"/>
        <w:jc w:val="both"/>
        <w:rPr>
          <w:rFonts w:ascii="Comic Sans MS" w:hAnsi="Comic Sans MS" w:cs="Arial"/>
          <w:color w:val="6C6C6C"/>
        </w:rPr>
      </w:pPr>
    </w:p>
    <w:p w14:paraId="03C92F42" w14:textId="77777777" w:rsidR="00125F85" w:rsidRDefault="00125F85" w:rsidP="0076761C">
      <w:pPr>
        <w:pStyle w:val="NormalWeb"/>
        <w:shd w:val="clear" w:color="auto" w:fill="FFFFFF"/>
        <w:jc w:val="both"/>
        <w:rPr>
          <w:rFonts w:ascii="Comic Sans MS" w:hAnsi="Comic Sans MS" w:cs="Arial"/>
          <w:color w:val="6C6C6C"/>
        </w:rPr>
      </w:pPr>
    </w:p>
    <w:p w14:paraId="5E859463" w14:textId="77777777" w:rsidR="00125F85" w:rsidRDefault="00125F85" w:rsidP="0076761C">
      <w:pPr>
        <w:pStyle w:val="NormalWeb"/>
        <w:shd w:val="clear" w:color="auto" w:fill="FFFFFF"/>
        <w:jc w:val="both"/>
        <w:rPr>
          <w:rFonts w:ascii="Comic Sans MS" w:hAnsi="Comic Sans MS" w:cs="Arial"/>
          <w:color w:val="6C6C6C"/>
        </w:rPr>
      </w:pPr>
    </w:p>
    <w:p w14:paraId="55FCA218" w14:textId="77777777" w:rsidR="00125F85" w:rsidRDefault="00125F85" w:rsidP="0076761C">
      <w:pPr>
        <w:pStyle w:val="NormalWeb"/>
        <w:shd w:val="clear" w:color="auto" w:fill="FFFFFF"/>
        <w:jc w:val="both"/>
        <w:rPr>
          <w:rFonts w:ascii="Comic Sans MS" w:hAnsi="Comic Sans MS" w:cs="Arial"/>
          <w:color w:val="6C6C6C"/>
        </w:rPr>
      </w:pPr>
    </w:p>
    <w:p w14:paraId="3491026C" w14:textId="459A92C0" w:rsidR="0076761C" w:rsidRPr="00125F85" w:rsidRDefault="0076761C" w:rsidP="0076761C">
      <w:pPr>
        <w:pStyle w:val="NormalWeb"/>
        <w:shd w:val="clear" w:color="auto" w:fill="FFFFFF"/>
        <w:jc w:val="both"/>
        <w:rPr>
          <w:rFonts w:ascii="Comic Sans MS" w:hAnsi="Comic Sans MS" w:cs="Arial"/>
          <w:color w:val="6C6C6C"/>
        </w:rPr>
      </w:pPr>
      <w:r w:rsidRPr="00125F85">
        <w:rPr>
          <w:rFonts w:ascii="Comic Sans MS" w:hAnsi="Comic Sans MS" w:cs="Arial"/>
          <w:color w:val="6C6C6C"/>
        </w:rPr>
        <w:lastRenderedPageBreak/>
        <w:t>Para finalizar, un ejemplo:</w:t>
      </w:r>
    </w:p>
    <w:p w14:paraId="3A16A63A" w14:textId="77777777" w:rsidR="0076761C" w:rsidRPr="00125F85" w:rsidRDefault="0076761C" w:rsidP="0076761C">
      <w:pPr>
        <w:pStyle w:val="NormalWeb"/>
        <w:shd w:val="clear" w:color="auto" w:fill="423222"/>
        <w:jc w:val="both"/>
        <w:rPr>
          <w:rFonts w:ascii="Comic Sans MS" w:hAnsi="Comic Sans MS" w:cs="Arial"/>
          <w:color w:val="FFFFFF" w:themeColor="background1"/>
        </w:rPr>
      </w:pPr>
      <w:r w:rsidRPr="00125F85">
        <w:rPr>
          <w:rFonts w:ascii="Comic Sans MS" w:hAnsi="Comic Sans MS" w:cs="Arial"/>
          <w:color w:val="FFFFFF" w:themeColor="background1"/>
        </w:rPr>
        <w:t>Un trabajador fijo-discontinuo que trabaja 6 meses al año y tienen otros seis meses de inactividad.</w:t>
      </w:r>
    </w:p>
    <w:p w14:paraId="11F3D35E" w14:textId="77777777" w:rsidR="0076761C" w:rsidRPr="00125F85" w:rsidRDefault="0076761C" w:rsidP="0076761C">
      <w:pPr>
        <w:shd w:val="clear" w:color="auto" w:fill="423222"/>
        <w:jc w:val="both"/>
        <w:rPr>
          <w:rFonts w:ascii="Comic Sans MS" w:hAnsi="Comic Sans MS" w:cs="Arial"/>
          <w:color w:val="FFFFFF" w:themeColor="background1"/>
        </w:rPr>
      </w:pPr>
      <w:r w:rsidRPr="00125F85">
        <w:rPr>
          <w:rFonts w:ascii="Comic Sans MS" w:hAnsi="Comic Sans MS" w:cs="Arial"/>
          <w:color w:val="FFFFFF" w:themeColor="background1"/>
        </w:rPr>
        <w:t> </w:t>
      </w:r>
    </w:p>
    <w:p w14:paraId="52007DE3" w14:textId="77777777" w:rsidR="0076761C" w:rsidRPr="00125F85" w:rsidRDefault="0076761C" w:rsidP="0076761C">
      <w:pPr>
        <w:pStyle w:val="NormalWeb"/>
        <w:shd w:val="clear" w:color="auto" w:fill="423222"/>
        <w:jc w:val="both"/>
        <w:rPr>
          <w:rFonts w:ascii="Comic Sans MS" w:hAnsi="Comic Sans MS" w:cs="Arial"/>
          <w:color w:val="FFFFFF" w:themeColor="background1"/>
        </w:rPr>
      </w:pPr>
      <w:r w:rsidRPr="00125F85">
        <w:rPr>
          <w:rFonts w:ascii="Comic Sans MS" w:hAnsi="Comic Sans MS" w:cs="Arial"/>
          <w:color w:val="FFFFFF" w:themeColor="background1"/>
        </w:rPr>
        <w:t>Es despedido tras tres años de antigüedad en la empresa mediante un despido que resulta finalmente declarado improcedente.</w:t>
      </w:r>
    </w:p>
    <w:p w14:paraId="77EA44E7" w14:textId="77777777" w:rsidR="0076761C" w:rsidRPr="00125F85" w:rsidRDefault="0076761C" w:rsidP="0076761C">
      <w:pPr>
        <w:shd w:val="clear" w:color="auto" w:fill="423222"/>
        <w:jc w:val="both"/>
        <w:rPr>
          <w:rFonts w:ascii="Comic Sans MS" w:hAnsi="Comic Sans MS" w:cs="Arial"/>
          <w:color w:val="FFFFFF" w:themeColor="background1"/>
        </w:rPr>
      </w:pPr>
      <w:r w:rsidRPr="00125F85">
        <w:rPr>
          <w:rFonts w:ascii="Comic Sans MS" w:hAnsi="Comic Sans MS" w:cs="Arial"/>
          <w:color w:val="FFFFFF" w:themeColor="background1"/>
        </w:rPr>
        <w:t> </w:t>
      </w:r>
    </w:p>
    <w:p w14:paraId="71625125" w14:textId="77777777" w:rsidR="0076761C" w:rsidRPr="00125F85" w:rsidRDefault="0076761C" w:rsidP="0076761C">
      <w:pPr>
        <w:pStyle w:val="NormalWeb"/>
        <w:shd w:val="clear" w:color="auto" w:fill="423222"/>
        <w:jc w:val="both"/>
        <w:rPr>
          <w:rFonts w:ascii="Comic Sans MS" w:hAnsi="Comic Sans MS" w:cs="Arial"/>
          <w:color w:val="FFFFFF" w:themeColor="background1"/>
        </w:rPr>
      </w:pPr>
      <w:r w:rsidRPr="00125F85">
        <w:rPr>
          <w:rFonts w:ascii="Comic Sans MS" w:hAnsi="Comic Sans MS" w:cs="Arial"/>
          <w:color w:val="FFFFFF" w:themeColor="background1"/>
        </w:rPr>
        <w:t>La indemnización resultante será 33 días de salario por año de servicio.</w:t>
      </w:r>
    </w:p>
    <w:p w14:paraId="63CFE2C3" w14:textId="77777777" w:rsidR="0076761C" w:rsidRPr="00125F85" w:rsidRDefault="0076761C" w:rsidP="0076761C">
      <w:pPr>
        <w:shd w:val="clear" w:color="auto" w:fill="423222"/>
        <w:jc w:val="both"/>
        <w:rPr>
          <w:rFonts w:ascii="Comic Sans MS" w:hAnsi="Comic Sans MS" w:cs="Arial"/>
        </w:rPr>
      </w:pPr>
      <w:r w:rsidRPr="00125F85">
        <w:rPr>
          <w:rFonts w:ascii="Comic Sans MS" w:hAnsi="Comic Sans MS" w:cs="Arial"/>
        </w:rPr>
        <w:t> </w:t>
      </w:r>
    </w:p>
    <w:p w14:paraId="393B4974" w14:textId="77777777" w:rsidR="0076761C" w:rsidRPr="00125F85" w:rsidRDefault="0076761C" w:rsidP="0076761C">
      <w:pPr>
        <w:pStyle w:val="NormalWeb"/>
        <w:shd w:val="clear" w:color="auto" w:fill="423222"/>
        <w:spacing w:before="0" w:after="0"/>
        <w:jc w:val="both"/>
        <w:rPr>
          <w:rFonts w:ascii="Comic Sans MS" w:hAnsi="Comic Sans MS" w:cs="Arial"/>
          <w:color w:val="FFFFFF" w:themeColor="background1"/>
        </w:rPr>
      </w:pPr>
      <w:r w:rsidRPr="00125F85">
        <w:rPr>
          <w:rFonts w:ascii="Comic Sans MS" w:hAnsi="Comic Sans MS" w:cs="Arial"/>
          <w:color w:val="FFFFFF" w:themeColor="background1"/>
        </w:rPr>
        <w:t>Como tienen actividad durante seis meses al año, a efectos de tiempo de servicio para calcular la indemnización, sólo se tendrá en cuenta año y medio; y </w:t>
      </w:r>
      <w:r w:rsidRPr="00125F85">
        <w:rPr>
          <w:rStyle w:val="negrita"/>
          <w:rFonts w:ascii="Comic Sans MS" w:hAnsi="Comic Sans MS" w:cs="Arial"/>
          <w:color w:val="FFFFFF" w:themeColor="background1"/>
        </w:rPr>
        <w:t>NO</w:t>
      </w:r>
      <w:r w:rsidRPr="00125F85">
        <w:rPr>
          <w:rFonts w:ascii="Comic Sans MS" w:hAnsi="Comic Sans MS" w:cs="Arial"/>
          <w:color w:val="FFFFFF" w:themeColor="background1"/>
        </w:rPr>
        <w:t> los tres años que ha durado el contrato de trabajo.</w:t>
      </w:r>
    </w:p>
    <w:p w14:paraId="418F40B4" w14:textId="77777777" w:rsidR="0076761C" w:rsidRPr="00125F85" w:rsidRDefault="0076761C">
      <w:pPr>
        <w:rPr>
          <w:rFonts w:ascii="Comic Sans MS" w:hAnsi="Comic Sans MS"/>
        </w:rPr>
      </w:pPr>
    </w:p>
    <w:sectPr w:rsidR="0076761C" w:rsidRPr="0012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5CDB"/>
    <w:multiLevelType w:val="multilevel"/>
    <w:tmpl w:val="26EA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1C"/>
    <w:rsid w:val="00125F85"/>
    <w:rsid w:val="007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6066"/>
  <w15:chartTrackingRefBased/>
  <w15:docId w15:val="{291AC52D-7F57-4EF9-89E0-35A05052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7676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7676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761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6761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insangria">
    <w:name w:val="sinsangria"/>
    <w:basedOn w:val="Normal"/>
    <w:rsid w:val="0076761C"/>
    <w:pPr>
      <w:spacing w:before="100" w:beforeAutospacing="1" w:after="100" w:afterAutospacing="1"/>
    </w:pPr>
  </w:style>
  <w:style w:type="character" w:customStyle="1" w:styleId="negrita">
    <w:name w:val="negrita"/>
    <w:basedOn w:val="Fuentedeprrafopredeter"/>
    <w:rsid w:val="0076761C"/>
  </w:style>
  <w:style w:type="paragraph" w:styleId="NormalWeb">
    <w:name w:val="Normal (Web)"/>
    <w:basedOn w:val="Normal"/>
    <w:uiPriority w:val="99"/>
    <w:semiHidden/>
    <w:unhideWhenUsed/>
    <w:rsid w:val="0076761C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7676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2020-11-17T10:53:00Z</dcterms:created>
  <dcterms:modified xsi:type="dcterms:W3CDTF">2020-11-18T12:46:00Z</dcterms:modified>
</cp:coreProperties>
</file>