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ECDF" w14:textId="77777777" w:rsidR="00A5572E" w:rsidRPr="00A5572E" w:rsidRDefault="00A5572E" w:rsidP="00A5572E">
      <w:pPr>
        <w:shd w:val="clear" w:color="auto" w:fill="FFFFFF"/>
        <w:spacing w:before="100" w:beforeAutospacing="1" w:after="100" w:afterAutospacing="1" w:line="718" w:lineRule="atLeast"/>
        <w:jc w:val="center"/>
        <w:outlineLvl w:val="0"/>
        <w:rPr>
          <w:rFonts w:ascii="Arial" w:eastAsia="Times New Roman" w:hAnsi="Arial" w:cs="Arial"/>
          <w:b/>
          <w:bCs/>
          <w:caps/>
          <w:color w:val="000000"/>
          <w:spacing w:val="-15"/>
          <w:kern w:val="36"/>
          <w:sz w:val="28"/>
          <w:szCs w:val="28"/>
          <w:lang w:eastAsia="es-ES"/>
        </w:rPr>
      </w:pPr>
      <w:r w:rsidRPr="00A5572E">
        <w:rPr>
          <w:rFonts w:ascii="Arial" w:eastAsia="Times New Roman" w:hAnsi="Arial" w:cs="Arial"/>
          <w:b/>
          <w:bCs/>
          <w:caps/>
          <w:color w:val="000000"/>
          <w:spacing w:val="-15"/>
          <w:kern w:val="36"/>
          <w:sz w:val="28"/>
          <w:szCs w:val="28"/>
          <w:lang w:eastAsia="es-ES"/>
        </w:rPr>
        <w:t xml:space="preserve">Novedades en material laboral y social de los </w:t>
      </w:r>
      <w:r w:rsidRPr="00A5572E">
        <w:rPr>
          <w:rFonts w:ascii="Arial" w:eastAsia="Times New Roman" w:hAnsi="Arial" w:cs="Arial"/>
          <w:b/>
          <w:bCs/>
          <w:caps/>
          <w:color w:val="000000"/>
          <w:spacing w:val="-15"/>
          <w:kern w:val="36"/>
          <w:sz w:val="28"/>
          <w:szCs w:val="28"/>
          <w:u w:val="single"/>
          <w:lang w:eastAsia="es-ES"/>
        </w:rPr>
        <w:t>Presupuestos Generales del Estado para el año 2021</w:t>
      </w:r>
    </w:p>
    <w:p w14:paraId="051A641E" w14:textId="6DC43B7D" w:rsidR="00A5572E" w:rsidRPr="00A5572E" w:rsidRDefault="00A5572E" w:rsidP="00A5572E">
      <w:pPr>
        <w:shd w:val="clear" w:color="auto" w:fill="FFFFFF"/>
        <w:spacing w:after="0" w:line="240" w:lineRule="auto"/>
        <w:jc w:val="right"/>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w:t>
      </w:r>
    </w:p>
    <w:p w14:paraId="4F41B6A6" w14:textId="77777777" w:rsidR="00A5572E" w:rsidRPr="00E37A4D" w:rsidRDefault="00A5572E" w:rsidP="00E37A4D">
      <w:pPr>
        <w:shd w:val="clear" w:color="auto" w:fill="FFFFFF"/>
        <w:spacing w:after="150" w:line="240" w:lineRule="auto"/>
        <w:jc w:val="center"/>
        <w:rPr>
          <w:rFonts w:ascii="Arial" w:eastAsia="Times New Roman" w:hAnsi="Arial" w:cs="Arial"/>
          <w:color w:val="555555"/>
          <w:sz w:val="24"/>
          <w:szCs w:val="24"/>
          <w:lang w:eastAsia="es-ES"/>
        </w:rPr>
      </w:pPr>
      <w:r w:rsidRPr="00E37A4D">
        <w:rPr>
          <w:rFonts w:ascii="Arial" w:eastAsia="Times New Roman" w:hAnsi="Arial" w:cs="Arial"/>
          <w:b/>
          <w:bCs/>
          <w:color w:val="555555"/>
          <w:sz w:val="24"/>
          <w:szCs w:val="24"/>
          <w:lang w:eastAsia="es-ES"/>
        </w:rPr>
        <w:t xml:space="preserve">Novedades en ámbito social y laboral de la Ley de Presupuestos </w:t>
      </w:r>
      <w:r w:rsidRPr="00E37A4D">
        <w:rPr>
          <w:rFonts w:ascii="Arial" w:eastAsia="Times New Roman" w:hAnsi="Arial" w:cs="Arial"/>
          <w:b/>
          <w:bCs/>
          <w:color w:val="555555"/>
          <w:sz w:val="24"/>
          <w:szCs w:val="24"/>
          <w:u w:val="single"/>
          <w:lang w:eastAsia="es-ES"/>
        </w:rPr>
        <w:t>Generales del Estado 2021.</w:t>
      </w:r>
    </w:p>
    <w:p w14:paraId="2708EFAC" w14:textId="77777777" w:rsidR="00A5572E" w:rsidRPr="00A5572E" w:rsidRDefault="00A5572E" w:rsidP="00E37A4D">
      <w:pPr>
        <w:shd w:val="clear" w:color="auto" w:fill="FFFFFF"/>
        <w:spacing w:after="150" w:line="240" w:lineRule="auto"/>
        <w:jc w:val="center"/>
        <w:rPr>
          <w:rFonts w:ascii="Arial" w:eastAsia="Times New Roman" w:hAnsi="Arial" w:cs="Arial"/>
          <w:color w:val="555555"/>
          <w:sz w:val="23"/>
          <w:szCs w:val="23"/>
          <w:lang w:eastAsia="es-ES"/>
        </w:rPr>
      </w:pPr>
      <w:proofErr w:type="spellStart"/>
      <w:r w:rsidRPr="00A5572E">
        <w:rPr>
          <w:rFonts w:ascii="Arial" w:eastAsia="Times New Roman" w:hAnsi="Arial" w:cs="Arial"/>
          <w:b/>
          <w:bCs/>
          <w:color w:val="800000"/>
          <w:sz w:val="23"/>
          <w:szCs w:val="23"/>
          <w:lang w:eastAsia="es-ES"/>
        </w:rPr>
        <w:t>INDICE</w:t>
      </w:r>
      <w:proofErr w:type="spellEnd"/>
    </w:p>
    <w:p w14:paraId="1CDF6C82"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 Bases y tipos de cotización a la Seguridad Social, Desempleo y Protección por cese de actividad, Fondo de Garantía Salarial y Formación Profesional (Art. 119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w:t>
      </w:r>
      <w:r w:rsidRPr="00A5572E">
        <w:rPr>
          <w:rFonts w:ascii="Arial" w:eastAsia="Times New Roman" w:hAnsi="Arial" w:cs="Arial"/>
          <w:b/>
          <w:bCs/>
          <w:color w:val="2F83E0"/>
          <w:sz w:val="23"/>
          <w:szCs w:val="23"/>
          <w:lang w:eastAsia="es-ES"/>
        </w:rPr>
        <w:t>0</w:t>
      </w:r>
      <w:r w:rsidRPr="00A5572E">
        <w:rPr>
          <w:rFonts w:ascii="Arial" w:eastAsia="Times New Roman" w:hAnsi="Arial" w:cs="Arial"/>
          <w:b/>
          <w:bCs/>
          <w:color w:val="2F83E0"/>
          <w:sz w:val="23"/>
          <w:szCs w:val="23"/>
          <w:lang w:eastAsia="es-ES"/>
        </w:rPr>
        <w:t>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42527498"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1.1 Bases y tipos de cotización a la Seguridad Social, Desempleo, Protección por cese de actividad, Fondo de Garantía Salarial y Formación Profesional durante el año 2021 para el Régimen General de la Seguridad Social.</w:t>
      </w:r>
    </w:p>
    <w:p w14:paraId="704FBBFD"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1.2 Cotización en el Régimen Especial de la Seguridad Social de los Trabajadores por Cuenta Propia o Autónomos.</w:t>
      </w:r>
    </w:p>
    <w:p w14:paraId="3DEBD1C5"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 Cotización en el Sistema Especial para Empleados de Hogar establecido en el Régimen General de la Seguridad Social</w:t>
      </w:r>
    </w:p>
    <w:p w14:paraId="1ADB4BF5"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1.4 Cotización en los contratos para la formación y el aprendizaje.</w:t>
      </w:r>
    </w:p>
    <w:p w14:paraId="69FDC43A"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2. Moratoria en el pago de las cuotas con la Seguridad Social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43ª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475DD730"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3. Contrato para la formación dual universitaria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36ª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7615186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4. Indemnizaciones a cargo del Fondo de Garantía Salarial (</w:t>
      </w:r>
      <w:proofErr w:type="spellStart"/>
      <w:r w:rsidRPr="00A5572E">
        <w:rPr>
          <w:rFonts w:ascii="Arial" w:eastAsia="Times New Roman" w:hAnsi="Arial" w:cs="Arial"/>
          <w:b/>
          <w:bCs/>
          <w:color w:val="555555"/>
          <w:sz w:val="23"/>
          <w:szCs w:val="23"/>
          <w:lang w:eastAsia="es-ES"/>
        </w:rPr>
        <w:t>FOGASA</w:t>
      </w:r>
      <w:proofErr w:type="spellEnd"/>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36ª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22567B64"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5. Cotización en supuestos de compatibilidad de jubilación y trabajo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38 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6AC87FEB"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5.1. Cotización en supuestos de compatibilidad de jubilación y trabajo por cuenta ajena</w:t>
      </w:r>
    </w:p>
    <w:p w14:paraId="28E05D5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5.2. Cotización en supuestos de compatibilidad de jubilación y trabajo por cuenta propia.</w:t>
      </w:r>
    </w:p>
    <w:p w14:paraId="4269E64A"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6. IPREM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121ª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w:t>
      </w:r>
      <w:r w:rsidRPr="00A5572E">
        <w:rPr>
          <w:rFonts w:ascii="Arial" w:eastAsia="Times New Roman" w:hAnsi="Arial" w:cs="Arial"/>
          <w:b/>
          <w:bCs/>
          <w:color w:val="2F83E0"/>
          <w:sz w:val="23"/>
          <w:szCs w:val="23"/>
          <w:lang w:eastAsia="es-ES"/>
        </w:rPr>
        <w:t>G</w:t>
      </w:r>
      <w:r w:rsidRPr="00A5572E">
        <w:rPr>
          <w:rFonts w:ascii="Arial" w:eastAsia="Times New Roman" w:hAnsi="Arial" w:cs="Arial"/>
          <w:b/>
          <w:bCs/>
          <w:color w:val="2F83E0"/>
          <w:sz w:val="23"/>
          <w:szCs w:val="23"/>
          <w:lang w:eastAsia="es-ES"/>
        </w:rPr>
        <w:t>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73B47F3E"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7. Contratos fijos discontinuos en los sectores de turismo y comercio y hostelería vinculados a la actividad turística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122 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6E826FF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8. Bonificación cambio de puesto de trabajo por riesgo durante el embarazo o durante la lactancia natural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123ª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1D0E8671"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9. Crédito de formación profesional para el empleo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124ª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51484E94"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10. Suspensión del sistema de reducción de las cotizaciones por contingencias profesionales por disminución de la siniestralidad laboral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127ª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5DFB6013"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11. Cuantías y revalorización de pensiones (Arts. 35-41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0FA1B0B7"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lastRenderedPageBreak/>
        <w:t>11.1 Cuantías mínimas de las pensiones de la modalidad contributiva del Sistema de la Seguridad Social para el año 2021</w:t>
      </w:r>
    </w:p>
    <w:p w14:paraId="490520F7"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11.2 Cuantías mínimas de las pensiones de Clases Pasivas para el año 2021</w:t>
      </w:r>
    </w:p>
    <w:p w14:paraId="64CE7E51"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11.3 Cuantías de otras pensiones y prestaciones públicas</w:t>
      </w:r>
    </w:p>
    <w:p w14:paraId="60D0DA6A"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12.  Complementos por mínimos (Arts. </w:t>
      </w:r>
      <w:hyperlink r:id="rId5" w:anchor="ancla_9633910" w:tgtFrame="_blank" w:history="1">
        <w:r w:rsidRPr="00A5572E">
          <w:rPr>
            <w:rFonts w:ascii="Arial" w:eastAsia="Times New Roman" w:hAnsi="Arial" w:cs="Arial"/>
            <w:b/>
            <w:bCs/>
            <w:color w:val="2F83E0"/>
            <w:sz w:val="23"/>
            <w:szCs w:val="23"/>
            <w:lang w:eastAsia="es-ES"/>
          </w:rPr>
          <w:t>42-43</w:t>
        </w:r>
      </w:hyperlink>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4758116A"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 xml:space="preserve">13 </w:t>
      </w:r>
      <w:proofErr w:type="gramStart"/>
      <w:r w:rsidRPr="00A5572E">
        <w:rPr>
          <w:rFonts w:ascii="Arial" w:eastAsia="Times New Roman" w:hAnsi="Arial" w:cs="Arial"/>
          <w:b/>
          <w:bCs/>
          <w:color w:val="555555"/>
          <w:sz w:val="23"/>
          <w:szCs w:val="23"/>
          <w:lang w:eastAsia="es-ES"/>
        </w:rPr>
        <w:t>Otras</w:t>
      </w:r>
      <w:proofErr w:type="gramEnd"/>
      <w:r w:rsidRPr="00A5572E">
        <w:rPr>
          <w:rFonts w:ascii="Arial" w:eastAsia="Times New Roman" w:hAnsi="Arial" w:cs="Arial"/>
          <w:b/>
          <w:bCs/>
          <w:color w:val="555555"/>
          <w:sz w:val="23"/>
          <w:szCs w:val="23"/>
          <w:lang w:eastAsia="es-ES"/>
        </w:rPr>
        <w:t xml:space="preserve"> medidas en el ámbito laboral para 2021:</w:t>
      </w:r>
    </w:p>
    <w:p w14:paraId="18A0E17B"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13.1 Regulación del salario mínimo interprofesional para 2021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6ª del </w:t>
      </w:r>
      <w:hyperlink r:id="rId6" w:tgtFrame="_blank" w:history="1">
        <w:r w:rsidRPr="00A5572E">
          <w:rPr>
            <w:rFonts w:ascii="Arial" w:eastAsia="Times New Roman" w:hAnsi="Arial" w:cs="Arial"/>
            <w:b/>
            <w:bCs/>
            <w:color w:val="2F83E0"/>
            <w:sz w:val="23"/>
            <w:szCs w:val="23"/>
            <w:lang w:eastAsia="es-ES"/>
          </w:rPr>
          <w:t>Real Decreto-ley 38/2020, de 29 de diciem</w:t>
        </w:r>
        <w:r w:rsidRPr="00A5572E">
          <w:rPr>
            <w:rFonts w:ascii="Arial" w:eastAsia="Times New Roman" w:hAnsi="Arial" w:cs="Arial"/>
            <w:b/>
            <w:bCs/>
            <w:color w:val="2F83E0"/>
            <w:sz w:val="23"/>
            <w:szCs w:val="23"/>
            <w:lang w:eastAsia="es-ES"/>
          </w:rPr>
          <w:t>b</w:t>
        </w:r>
        <w:r w:rsidRPr="00A5572E">
          <w:rPr>
            <w:rFonts w:ascii="Arial" w:eastAsia="Times New Roman" w:hAnsi="Arial" w:cs="Arial"/>
            <w:b/>
            <w:bCs/>
            <w:color w:val="2F83E0"/>
            <w:sz w:val="23"/>
            <w:szCs w:val="23"/>
            <w:lang w:eastAsia="es-ES"/>
          </w:rPr>
          <w:t>re</w:t>
        </w:r>
      </w:hyperlink>
      <w:r w:rsidRPr="00A5572E">
        <w:rPr>
          <w:rFonts w:ascii="Arial" w:eastAsia="Times New Roman" w:hAnsi="Arial" w:cs="Arial"/>
          <w:b/>
          <w:bCs/>
          <w:color w:val="555555"/>
          <w:sz w:val="23"/>
          <w:szCs w:val="23"/>
          <w:lang w:eastAsia="es-ES"/>
        </w:rPr>
        <w:t>)</w:t>
      </w:r>
    </w:p>
    <w:p w14:paraId="6EF6FA95"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13.2 Nuevo aplazamiento de la entrada en vigor de la posibilidad de ejercer a tiempo parcial la actividad autónoma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126ª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13F80A3C"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13.3 Cotización en el Sistema Especial para manipulado y empaquetado del tomate fresco con destino a la exportación, dentro del Régimen General de la Seguridad Social (DF 41ª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2DAD6D0D"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 Empleados públicos</w:t>
      </w:r>
    </w:p>
    <w:p w14:paraId="713D499C"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13.4.1 Nueva regulación de determinados permisos y vacaciones de los Empleados Públicos (DF 37ª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573DE73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13.4.2 Retribuciones del personal al servicio del sector público (art. 18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7CDC51CA"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13.4.3 Recuperación de la paga extraordinaria y adicional del mes de diciembre de 2012 (DA 35ª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2B3ABBA7"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13.4.4 contratación de personal temporal o el nombramiento de personal estatutario temporal y de funcionarios interinos (art. 19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58E040CE" w14:textId="42DBF778" w:rsidR="00A5572E" w:rsidRDefault="00A5572E" w:rsidP="00E37A4D">
      <w:pPr>
        <w:shd w:val="clear" w:color="auto" w:fill="FFFFFF"/>
        <w:spacing w:after="150" w:line="240" w:lineRule="auto"/>
        <w:jc w:val="both"/>
        <w:rPr>
          <w:rFonts w:ascii="Arial" w:eastAsia="Times New Roman" w:hAnsi="Arial" w:cs="Arial"/>
          <w:b/>
          <w:bCs/>
          <w:color w:val="555555"/>
          <w:sz w:val="23"/>
          <w:szCs w:val="23"/>
          <w:lang w:eastAsia="es-ES"/>
        </w:rPr>
      </w:pPr>
      <w:r w:rsidRPr="00A5572E">
        <w:rPr>
          <w:rFonts w:ascii="Arial" w:eastAsia="Times New Roman" w:hAnsi="Arial" w:cs="Arial"/>
          <w:color w:val="555555"/>
          <w:sz w:val="23"/>
          <w:szCs w:val="23"/>
          <w:lang w:eastAsia="es-ES"/>
        </w:rPr>
        <w:t> </w:t>
      </w:r>
      <w:r w:rsidRPr="00A5572E">
        <w:rPr>
          <w:rFonts w:ascii="Arial" w:eastAsia="Times New Roman" w:hAnsi="Arial" w:cs="Arial"/>
          <w:b/>
          <w:bCs/>
          <w:color w:val="555555"/>
          <w:sz w:val="23"/>
          <w:szCs w:val="23"/>
          <w:lang w:eastAsia="es-ES"/>
        </w:rPr>
        <w:t> </w:t>
      </w:r>
    </w:p>
    <w:p w14:paraId="0BB187D2" w14:textId="066316C2" w:rsidR="00E37A4D" w:rsidRPr="00E37A4D" w:rsidRDefault="00E37A4D" w:rsidP="00E37A4D">
      <w:pPr>
        <w:shd w:val="clear" w:color="auto" w:fill="FFFFFF"/>
        <w:spacing w:after="150" w:line="240" w:lineRule="auto"/>
        <w:jc w:val="center"/>
        <w:rPr>
          <w:rFonts w:ascii="Arial" w:eastAsia="Times New Roman" w:hAnsi="Arial" w:cs="Arial"/>
          <w:color w:val="555555"/>
          <w:sz w:val="23"/>
          <w:szCs w:val="23"/>
          <w:u w:val="single"/>
          <w:lang w:eastAsia="es-ES"/>
        </w:rPr>
      </w:pPr>
      <w:r w:rsidRPr="00E37A4D">
        <w:rPr>
          <w:rFonts w:ascii="Arial" w:eastAsia="Times New Roman" w:hAnsi="Arial" w:cs="Arial"/>
          <w:b/>
          <w:bCs/>
          <w:color w:val="555555"/>
          <w:sz w:val="23"/>
          <w:szCs w:val="23"/>
          <w:u w:val="single"/>
          <w:lang w:eastAsia="es-ES"/>
        </w:rPr>
        <w:t>SEGURIDAD SOCIAL</w:t>
      </w:r>
    </w:p>
    <w:p w14:paraId="5050B27B" w14:textId="77777777" w:rsidR="00E37A4D" w:rsidRDefault="00E37A4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2E23118D" w14:textId="29C39C52"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 Bases y tipos de cotización a la Seguridad Social, Desempleo y Protección por cese de actividad, Fondo de Garantía Salarial y Formación Profesional (Art. </w:t>
      </w:r>
      <w:hyperlink r:id="rId7" w:anchor="ancla_9634022" w:tgtFrame="_blank" w:history="1">
        <w:r w:rsidRPr="00A5572E">
          <w:rPr>
            <w:rFonts w:ascii="Arial" w:eastAsia="Times New Roman" w:hAnsi="Arial" w:cs="Arial"/>
            <w:b/>
            <w:bCs/>
            <w:color w:val="2F83E0"/>
            <w:sz w:val="23"/>
            <w:szCs w:val="23"/>
            <w:lang w:eastAsia="es-ES"/>
          </w:rPr>
          <w:t>119</w:t>
        </w:r>
      </w:hyperlink>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w:t>
      </w:r>
      <w:r w:rsidRPr="00A5572E">
        <w:rPr>
          <w:rFonts w:ascii="Arial" w:eastAsia="Times New Roman" w:hAnsi="Arial" w:cs="Arial"/>
          <w:b/>
          <w:bCs/>
          <w:color w:val="2F83E0"/>
          <w:sz w:val="23"/>
          <w:szCs w:val="23"/>
          <w:lang w:eastAsia="es-ES"/>
        </w:rPr>
        <w:t>2</w:t>
      </w:r>
      <w:r w:rsidRPr="00A5572E">
        <w:rPr>
          <w:rFonts w:ascii="Arial" w:eastAsia="Times New Roman" w:hAnsi="Arial" w:cs="Arial"/>
          <w:b/>
          <w:bCs/>
          <w:color w:val="2F83E0"/>
          <w:sz w:val="23"/>
          <w:szCs w:val="23"/>
          <w:lang w:eastAsia="es-ES"/>
        </w:rPr>
        <w:t>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12652B96"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Para el año 2021 se congela la base máxima de cotización (4.070,10 euros al mes) y se mantienen las bases mínimas hasta que se fije del salario mínimo interprofesional 2021.</w:t>
      </w:r>
    </w:p>
    <w:p w14:paraId="4E45D968"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1.1 Bases y tipos de cotización a la Seguridad Social, Desempleo, Protección por cese de actividad, Fondo de Garantía Salarial y Formación Profesional durante el año 2021 para el Régimen General de la Seguridad Social.</w:t>
      </w:r>
    </w:p>
    <w:p w14:paraId="68B2424C" w14:textId="77777777" w:rsidR="00A5572E" w:rsidRPr="00A5572E" w:rsidRDefault="00A5572E" w:rsidP="00E37A4D">
      <w:pPr>
        <w:numPr>
          <w:ilvl w:val="0"/>
          <w:numId w:val="3"/>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 base máxima de cotización se fijada en 4.070,10 euros.</w:t>
      </w:r>
    </w:p>
    <w:p w14:paraId="19A63D72" w14:textId="77777777" w:rsidR="00A5572E" w:rsidRPr="00A5572E" w:rsidRDefault="00A5572E" w:rsidP="00E37A4D">
      <w:pPr>
        <w:numPr>
          <w:ilvl w:val="0"/>
          <w:numId w:val="3"/>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 congelación temporal del SMI hace que el incremento de las bases mínimas de cotización se calcule sobre el SMI 2020.</w:t>
      </w:r>
    </w:p>
    <w:p w14:paraId="198FFE1B" w14:textId="77777777" w:rsidR="00A5572E" w:rsidRPr="00A5572E" w:rsidRDefault="00A5572E" w:rsidP="00E37A4D">
      <w:pPr>
        <w:numPr>
          <w:ilvl w:val="0"/>
          <w:numId w:val="3"/>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Los tipos de cotización en el Régimen General de Seguridad Social no han sufrido variación.</w:t>
      </w:r>
    </w:p>
    <w:p w14:paraId="4414146C" w14:textId="77777777" w:rsidR="00A5572E" w:rsidRPr="00A5572E" w:rsidRDefault="00A5572E" w:rsidP="00E37A4D">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lastRenderedPageBreak/>
        <w:t>Topes máximo y mínimo de las bases de cotización en el régimen general de la seguridad social </w:t>
      </w:r>
    </w:p>
    <w:tbl>
      <w:tblPr>
        <w:tblW w:w="0" w:type="auto"/>
        <w:tblCellMar>
          <w:top w:w="15" w:type="dxa"/>
          <w:left w:w="15" w:type="dxa"/>
          <w:bottom w:w="15" w:type="dxa"/>
          <w:right w:w="15" w:type="dxa"/>
        </w:tblCellMar>
        <w:tblLook w:val="04A0" w:firstRow="1" w:lastRow="0" w:firstColumn="1" w:lastColumn="0" w:noHBand="0" w:noVBand="1"/>
      </w:tblPr>
      <w:tblGrid>
        <w:gridCol w:w="1558"/>
        <w:gridCol w:w="1585"/>
        <w:gridCol w:w="1559"/>
        <w:gridCol w:w="1585"/>
        <w:gridCol w:w="2187"/>
      </w:tblGrid>
      <w:tr w:rsidR="00A5572E" w:rsidRPr="00A5572E" w14:paraId="591B006E" w14:textId="77777777" w:rsidTr="00A5572E">
        <w:tc>
          <w:tcPr>
            <w:tcW w:w="3330" w:type="dxa"/>
            <w:gridSpan w:val="2"/>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5160391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2020</w:t>
            </w:r>
          </w:p>
        </w:tc>
        <w:tc>
          <w:tcPr>
            <w:tcW w:w="3330" w:type="dxa"/>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737A261A"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2021</w:t>
            </w:r>
          </w:p>
        </w:tc>
        <w:tc>
          <w:tcPr>
            <w:tcW w:w="1710" w:type="dxa"/>
            <w:vMerge w:val="restart"/>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3014A6FC"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PENDIENTE DE CAMBIOS EN CASO DE ACTUALIZACIÓN DEL SMI PARA 2021</w:t>
            </w:r>
          </w:p>
          <w:p w14:paraId="2356EEFC"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 </w:t>
            </w:r>
          </w:p>
        </w:tc>
      </w:tr>
      <w:tr w:rsidR="00A5572E" w:rsidRPr="00A5572E" w14:paraId="322575D6" w14:textId="77777777" w:rsidTr="00A5572E">
        <w:tc>
          <w:tcPr>
            <w:tcW w:w="165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7BEC4F5A"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Base Mínima</w:t>
            </w:r>
          </w:p>
        </w:tc>
        <w:tc>
          <w:tcPr>
            <w:tcW w:w="165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3AD3645"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Base Máxima</w:t>
            </w:r>
          </w:p>
        </w:tc>
        <w:tc>
          <w:tcPr>
            <w:tcW w:w="165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707B13D"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Base Mínima</w:t>
            </w:r>
          </w:p>
        </w:tc>
        <w:tc>
          <w:tcPr>
            <w:tcW w:w="165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D271F2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Base Máxima</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00E37C55" w14:textId="77777777" w:rsidR="00A5572E" w:rsidRPr="00A5572E" w:rsidRDefault="00A5572E" w:rsidP="00E37A4D">
            <w:pPr>
              <w:spacing w:beforeAutospacing="1" w:after="0" w:afterAutospacing="1" w:line="240" w:lineRule="auto"/>
              <w:jc w:val="both"/>
              <w:rPr>
                <w:rFonts w:ascii="Times New Roman" w:eastAsia="Times New Roman" w:hAnsi="Times New Roman" w:cs="Times New Roman"/>
                <w:b/>
                <w:bCs/>
                <w:sz w:val="24"/>
                <w:szCs w:val="24"/>
                <w:lang w:eastAsia="es-ES"/>
              </w:rPr>
            </w:pPr>
          </w:p>
        </w:tc>
      </w:tr>
      <w:tr w:rsidR="00A5572E" w:rsidRPr="00A5572E" w14:paraId="098ACABD" w14:textId="77777777" w:rsidTr="00A5572E">
        <w:tc>
          <w:tcPr>
            <w:tcW w:w="165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62266BF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1.108,33</w:t>
            </w:r>
          </w:p>
        </w:tc>
        <w:tc>
          <w:tcPr>
            <w:tcW w:w="165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7096E55"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4.070,10</w:t>
            </w:r>
          </w:p>
        </w:tc>
        <w:tc>
          <w:tcPr>
            <w:tcW w:w="165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FDABBD9"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1.108,33</w:t>
            </w:r>
          </w:p>
        </w:tc>
        <w:tc>
          <w:tcPr>
            <w:tcW w:w="165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5654F2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4.070,10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5A9B0E92" w14:textId="77777777" w:rsidR="00A5572E" w:rsidRPr="00A5572E" w:rsidRDefault="00A5572E" w:rsidP="00E37A4D">
            <w:pPr>
              <w:spacing w:beforeAutospacing="1" w:after="0" w:afterAutospacing="1" w:line="240" w:lineRule="auto"/>
              <w:jc w:val="both"/>
              <w:rPr>
                <w:rFonts w:ascii="Times New Roman" w:eastAsia="Times New Roman" w:hAnsi="Times New Roman" w:cs="Times New Roman"/>
                <w:b/>
                <w:bCs/>
                <w:sz w:val="24"/>
                <w:szCs w:val="24"/>
                <w:lang w:eastAsia="es-ES"/>
              </w:rPr>
            </w:pPr>
          </w:p>
        </w:tc>
      </w:tr>
    </w:tbl>
    <w:p w14:paraId="2C906404"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 </w:t>
      </w:r>
    </w:p>
    <w:p w14:paraId="3A59BF80"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1.2 Cotización en el Régimen Especial de la Seguridad Social de los Trabajadores por Cuenta Propia o Autónomos</w:t>
      </w:r>
    </w:p>
    <w:p w14:paraId="2014675F"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 base máxima de cotización será de 4.070,10 euros mensuales. La base mínima de cotización será de 944,40 euros mensuales. Para 2021 los tipos de cotización serán: 28,30 contingencias comunes; 1,30 % por contingencias profesionales; 0,9 % por cese de actividad y 0,1 % por formación profesional (30,60 % en total).</w:t>
      </w:r>
    </w:p>
    <w:p w14:paraId="49CE6122" w14:textId="77777777" w:rsidR="00A5572E" w:rsidRPr="00A5572E" w:rsidRDefault="00A5572E" w:rsidP="00E37A4D">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Bases y tipos de cotización al RETA desde el 1 de enero de 2021</w:t>
      </w:r>
    </w:p>
    <w:p w14:paraId="0D7122FB"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Las bases de cotización en el RETA se mantienen en idéntica cantidad (4.070,10 euros mensuales y la mínima de 944,40 euros mensuales). No obstante, siguiendo la D.T 2ª </w:t>
      </w:r>
      <w:hyperlink r:id="rId8" w:tgtFrame="_blank" w:history="1">
        <w:r w:rsidRPr="00A5572E">
          <w:rPr>
            <w:rFonts w:ascii="Arial" w:eastAsia="Times New Roman" w:hAnsi="Arial" w:cs="Arial"/>
            <w:color w:val="2F83E0"/>
            <w:sz w:val="23"/>
            <w:szCs w:val="23"/>
            <w:lang w:eastAsia="es-ES"/>
          </w:rPr>
          <w:t>Real Decreto-ley 28/2018, de 28 de diciembre</w:t>
        </w:r>
      </w:hyperlink>
      <w:r w:rsidRPr="00A5572E">
        <w:rPr>
          <w:rFonts w:ascii="Arial" w:eastAsia="Times New Roman" w:hAnsi="Arial" w:cs="Arial"/>
          <w:color w:val="555555"/>
          <w:sz w:val="23"/>
          <w:szCs w:val="23"/>
          <w:lang w:eastAsia="es-ES"/>
        </w:rPr>
        <w:t>, </w:t>
      </w:r>
      <w:r w:rsidRPr="00A5572E">
        <w:rPr>
          <w:rFonts w:ascii="Arial" w:eastAsia="Times New Roman" w:hAnsi="Arial" w:cs="Arial"/>
          <w:b/>
          <w:bCs/>
          <w:color w:val="555555"/>
          <w:sz w:val="23"/>
          <w:szCs w:val="23"/>
          <w:lang w:eastAsia="es-ES"/>
        </w:rPr>
        <w:t>se elevan los tipos de cotización</w:t>
      </w:r>
      <w:r w:rsidRPr="00A5572E">
        <w:rPr>
          <w:rFonts w:ascii="Arial" w:eastAsia="Times New Roman" w:hAnsi="Arial" w:cs="Arial"/>
          <w:color w:val="555555"/>
          <w:sz w:val="23"/>
          <w:szCs w:val="23"/>
          <w:lang w:eastAsia="es-ES"/>
        </w:rPr>
        <w:t>: 28,30 % contingencias comunes; 1,30 % por contingencias profesionales; 0,9 % por cese de actividad y 0,1 % por formación profesional (30,60 % en total).</w:t>
      </w:r>
    </w:p>
    <w:p w14:paraId="4857B18D" w14:textId="77777777" w:rsidR="00A5572E" w:rsidRPr="00A5572E" w:rsidRDefault="00A5572E" w:rsidP="00E37A4D">
      <w:pPr>
        <w:numPr>
          <w:ilvl w:val="0"/>
          <w:numId w:val="6"/>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Tipo de cotización al RETA 2021</w:t>
      </w:r>
    </w:p>
    <w:tbl>
      <w:tblPr>
        <w:tblW w:w="0" w:type="auto"/>
        <w:tblCellMar>
          <w:top w:w="15" w:type="dxa"/>
          <w:left w:w="15" w:type="dxa"/>
          <w:bottom w:w="15" w:type="dxa"/>
          <w:right w:w="15" w:type="dxa"/>
        </w:tblCellMar>
        <w:tblLook w:val="04A0" w:firstRow="1" w:lastRow="0" w:firstColumn="1" w:lastColumn="0" w:noHBand="0" w:noVBand="1"/>
      </w:tblPr>
      <w:tblGrid>
        <w:gridCol w:w="3337"/>
        <w:gridCol w:w="1138"/>
        <w:gridCol w:w="1138"/>
        <w:gridCol w:w="2861"/>
      </w:tblGrid>
      <w:tr w:rsidR="00A5572E" w:rsidRPr="00A5572E" w14:paraId="24771ADC"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67435B2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Tipo de cotización</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1E0D5E8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2020</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01EF6B8F"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2021</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58FE079E" w14:textId="626D74BB"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p>
        </w:tc>
      </w:tr>
      <w:tr w:rsidR="00A5572E" w:rsidRPr="00A5572E" w14:paraId="4BC29D0F"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84E27F7"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Para las contingencias comunes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95FF17E"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28,30 %</w:t>
            </w:r>
          </w:p>
          <w:p w14:paraId="30C0428B" w14:textId="1C2418D4"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AC5AB2E"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28,30 %</w:t>
            </w:r>
          </w:p>
          <w:p w14:paraId="6C44F7FF" w14:textId="2FD95043"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CEAEE3E"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NO HAY CAMBIOS</w:t>
            </w:r>
          </w:p>
        </w:tc>
      </w:tr>
      <w:tr w:rsidR="00A5572E" w:rsidRPr="00A5572E" w14:paraId="207891BD"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4102ECE"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Para las contingencias profesionales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BE04CF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1,10 %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6F52EB7"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1,30 %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70E08E8" w14:textId="4343660A"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 xml:space="preserve">INCREMENTO DEL </w:t>
            </w:r>
            <w:r w:rsidR="00CE3CCD">
              <w:rPr>
                <w:rFonts w:ascii="Times New Roman" w:eastAsia="Times New Roman" w:hAnsi="Times New Roman" w:cs="Times New Roman"/>
                <w:b/>
                <w:bCs/>
                <w:sz w:val="24"/>
                <w:szCs w:val="24"/>
                <w:lang w:eastAsia="es-ES"/>
              </w:rPr>
              <w:t>0</w:t>
            </w:r>
            <w:r w:rsidRPr="00A5572E">
              <w:rPr>
                <w:rFonts w:ascii="Times New Roman" w:eastAsia="Times New Roman" w:hAnsi="Times New Roman" w:cs="Times New Roman"/>
                <w:b/>
                <w:bCs/>
                <w:sz w:val="24"/>
                <w:szCs w:val="24"/>
                <w:lang w:eastAsia="es-ES"/>
              </w:rPr>
              <w:t>,20 %</w:t>
            </w:r>
          </w:p>
        </w:tc>
      </w:tr>
      <w:tr w:rsidR="00A5572E" w:rsidRPr="00A5572E" w14:paraId="2E347208"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C7BB0E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Por cese de actividad</w:t>
            </w:r>
          </w:p>
          <w:p w14:paraId="403DDB44" w14:textId="55741C45"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011A1A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0,8 %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F72AD3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0,9 %</w:t>
            </w:r>
          </w:p>
          <w:p w14:paraId="4D6B6634" w14:textId="08CA0773"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C3CA937" w14:textId="3E372DF2"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 xml:space="preserve">INCREMENTO DEL </w:t>
            </w:r>
            <w:r w:rsidR="00CE3CCD">
              <w:rPr>
                <w:rFonts w:ascii="Times New Roman" w:eastAsia="Times New Roman" w:hAnsi="Times New Roman" w:cs="Times New Roman"/>
                <w:b/>
                <w:bCs/>
                <w:sz w:val="24"/>
                <w:szCs w:val="24"/>
                <w:lang w:eastAsia="es-ES"/>
              </w:rPr>
              <w:t>0</w:t>
            </w:r>
            <w:r w:rsidRPr="00A5572E">
              <w:rPr>
                <w:rFonts w:ascii="Times New Roman" w:eastAsia="Times New Roman" w:hAnsi="Times New Roman" w:cs="Times New Roman"/>
                <w:b/>
                <w:bCs/>
                <w:sz w:val="24"/>
                <w:szCs w:val="24"/>
                <w:lang w:eastAsia="es-ES"/>
              </w:rPr>
              <w:t>,10 %</w:t>
            </w:r>
          </w:p>
        </w:tc>
      </w:tr>
      <w:tr w:rsidR="00A5572E" w:rsidRPr="00A5572E" w14:paraId="28F7B373"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D076896"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Por formación profesional</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044078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0,1 %</w:t>
            </w:r>
          </w:p>
          <w:p w14:paraId="1CE09E81" w14:textId="498C7409"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02D8F0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0,1 %</w:t>
            </w:r>
          </w:p>
          <w:p w14:paraId="1ED418E5" w14:textId="2C4C4C05"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9CBC2A9"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NO HAY CAMBIOS</w:t>
            </w:r>
          </w:p>
        </w:tc>
      </w:tr>
      <w:tr w:rsidR="00A5572E" w:rsidRPr="00A5572E" w14:paraId="2959512C"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1AC056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TOTAL</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F579328"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30,60 %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DB570D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29,50 %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4B61BE8"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INCREMENTO DEL 1,1 %</w:t>
            </w:r>
          </w:p>
        </w:tc>
      </w:tr>
    </w:tbl>
    <w:p w14:paraId="628BE02C"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w:t>
      </w:r>
    </w:p>
    <w:p w14:paraId="6F9B331E"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4A9452F4"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1193246A"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2B23D3FF" w14:textId="373F46FD"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lastRenderedPageBreak/>
        <w:t>1.3 Cotización en el Sistema Especial para Empleados de Hogar establecido en el Régimen General de la Seguridad Social</w:t>
      </w:r>
    </w:p>
    <w:p w14:paraId="1888B994"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Hasta que se fije del salario mínimo interprofesional 2021 se mantienen los tramos de cotización en el Régimen especial de empleados de hogar fijados para 2020.</w:t>
      </w:r>
    </w:p>
    <w:p w14:paraId="5044115F"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Hasta la fijación del SMI 2021 que permita actualizar las cantidades que se exponen, en el Sistema Especial las bases de cotización serán de conformidad con la siguiente escala (art. 14 </w:t>
      </w:r>
      <w:hyperlink r:id="rId9" w:tgtFrame="_blank" w:history="1">
        <w:r w:rsidRPr="00A5572E">
          <w:rPr>
            <w:rFonts w:ascii="Arial" w:eastAsia="Times New Roman" w:hAnsi="Arial" w:cs="Arial"/>
            <w:color w:val="2F83E0"/>
            <w:sz w:val="23"/>
            <w:szCs w:val="23"/>
            <w:lang w:eastAsia="es-ES"/>
          </w:rPr>
          <w:t xml:space="preserve">Orden </w:t>
        </w:r>
        <w:proofErr w:type="spellStart"/>
        <w:r w:rsidRPr="00A5572E">
          <w:rPr>
            <w:rFonts w:ascii="Arial" w:eastAsia="Times New Roman" w:hAnsi="Arial" w:cs="Arial"/>
            <w:color w:val="2F83E0"/>
            <w:sz w:val="23"/>
            <w:szCs w:val="23"/>
            <w:lang w:eastAsia="es-ES"/>
          </w:rPr>
          <w:t>TMS</w:t>
        </w:r>
        <w:proofErr w:type="spellEnd"/>
        <w:r w:rsidRPr="00A5572E">
          <w:rPr>
            <w:rFonts w:ascii="Arial" w:eastAsia="Times New Roman" w:hAnsi="Arial" w:cs="Arial"/>
            <w:color w:val="2F83E0"/>
            <w:sz w:val="23"/>
            <w:szCs w:val="23"/>
            <w:lang w:eastAsia="es-ES"/>
          </w:rPr>
          <w:t>/83/2019, de 31 de enero</w:t>
        </w:r>
      </w:hyperlink>
      <w:r w:rsidRPr="00A5572E">
        <w:rPr>
          <w:rFonts w:ascii="Arial" w:eastAsia="Times New Roman" w:hAnsi="Arial" w:cs="Arial"/>
          <w:color w:val="555555"/>
          <w:sz w:val="23"/>
          <w:szCs w:val="23"/>
          <w:lang w:eastAsia="es-ES"/>
        </w:rPr>
        <w:t>):</w:t>
      </w:r>
    </w:p>
    <w:tbl>
      <w:tblPr>
        <w:tblW w:w="8505" w:type="dxa"/>
        <w:tblCellMar>
          <w:top w:w="15" w:type="dxa"/>
          <w:left w:w="15" w:type="dxa"/>
          <w:bottom w:w="15" w:type="dxa"/>
          <w:right w:w="15" w:type="dxa"/>
        </w:tblCellMar>
        <w:tblLook w:val="04A0" w:firstRow="1" w:lastRow="0" w:firstColumn="1" w:lastColumn="0" w:noHBand="0" w:noVBand="1"/>
      </w:tblPr>
      <w:tblGrid>
        <w:gridCol w:w="1227"/>
        <w:gridCol w:w="2061"/>
        <w:gridCol w:w="1694"/>
        <w:gridCol w:w="1694"/>
        <w:gridCol w:w="2187"/>
      </w:tblGrid>
      <w:tr w:rsidR="00A5572E" w:rsidRPr="00A5572E" w14:paraId="61FAF495" w14:textId="77777777" w:rsidTr="00A5572E">
        <w:trPr>
          <w:tblHeader/>
        </w:trPr>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5E5B429A"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Tramo en función del máximo horas trabajadas</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6E16E6A8"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Tramo de retribución mensual (Euros/mes)</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7F9BBDA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COTIZACIÓN AÑO 2020</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14C6BA68"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COTIZACIÓN AÑO 2021</w:t>
            </w:r>
          </w:p>
        </w:tc>
        <w:tc>
          <w:tcPr>
            <w:tcW w:w="1305"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6E9F76F" w14:textId="54E8BB71"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p>
          <w:p w14:paraId="78C61405" w14:textId="7F6BBC15"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p>
        </w:tc>
      </w:tr>
      <w:tr w:rsidR="00A5572E" w:rsidRPr="00A5572E" w14:paraId="6F2D89B6"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7385E03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1.º</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71F7103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Hasta 240,00.</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E3517D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206,00</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45DF9C0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206,00</w:t>
            </w:r>
          </w:p>
        </w:tc>
        <w:tc>
          <w:tcPr>
            <w:tcW w:w="1305" w:type="dxa"/>
            <w:vMerge w:val="restart"/>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E723A26"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PENDIENTE DE CAMBIOS EN CASO DE ACTUALIZACIÓN DEL SMI PARA 2021</w:t>
            </w:r>
          </w:p>
        </w:tc>
      </w:tr>
      <w:tr w:rsidR="00A5572E" w:rsidRPr="00A5572E" w14:paraId="1686D447"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108F70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2.º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FF91D8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240,01 hasta 375,00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2EDE1E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340,00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AFF9D40"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340,00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1B408DA6"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3D629739"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D8A5965"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3.º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F945AF9"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375,01 hasta 510,00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972CFC9"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474,00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49A16E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474,00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766C8CCD"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7E48E55F"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A503E3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4.º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36EF1DC"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510,01 hasta 645,00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2415BC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608,00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06A35AF"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608,00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359A5F5B"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58AE0EF9"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D945A0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5.º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F4DD92A"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645,01 hasta 780,00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891034F"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743,00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E38F2D8"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743,00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19C94022"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04F9F671"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881504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6.º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3F0B9BD"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780,01 hasta 914,00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5123F4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877,00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8119846"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877,00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060B9258"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1F1BEB11"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46FF09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7.º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56CC84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914,01 hasta 1.050,00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94B8729"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1.050,00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18CFB0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1.050,00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4887DC51"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4D5A2A96"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D15A446"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8.º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24BD4A5"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1.050,01 hasta 1.144,00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2296ECC"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1.097,00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A8C4C1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1.097,00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434F1EB7"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02D7C798"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17209E6D"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9.º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96A7E95"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1.144,01 hasta 1.294,00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58702CD"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1.232,00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783692A"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1.232,00</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576618F1"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400B0927"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B10D73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10.º</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01DB11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Desde 1.294,00.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E1F110D"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Retribución mensual hasta base máxima</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8DDEFD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Retribución mensual hasta base máxima</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15462BCD"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r>
    </w:tbl>
    <w:p w14:paraId="026AE10F" w14:textId="631B7042" w:rsidR="00A5572E" w:rsidRPr="00A5572E" w:rsidRDefault="00A5572E" w:rsidP="00CE3CCD">
      <w:pPr>
        <w:shd w:val="clear" w:color="auto" w:fill="FFFFFF"/>
        <w:spacing w:after="150" w:line="240" w:lineRule="auto"/>
        <w:jc w:val="center"/>
        <w:rPr>
          <w:rFonts w:ascii="Arial" w:eastAsia="Times New Roman" w:hAnsi="Arial" w:cs="Arial"/>
          <w:color w:val="555555"/>
          <w:sz w:val="23"/>
          <w:szCs w:val="23"/>
          <w:lang w:eastAsia="es-ES"/>
        </w:rPr>
      </w:pPr>
    </w:p>
    <w:p w14:paraId="74953E26"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2D0FE653"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6C066281"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65876AFD"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518D09F5"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3687EA4A" w14:textId="77777777" w:rsidR="00CE3CCD" w:rsidRDefault="00CE3CCD"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59489F4A" w14:textId="2AC3D9D1"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lastRenderedPageBreak/>
        <w:t>1.4 Cotización en los contratos para la formación y el aprendizaje.</w:t>
      </w:r>
    </w:p>
    <w:p w14:paraId="5213C57B"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Dada la congelación de las bases mínimas de cotización se mantienen las cuantías de cotización vigentes en el año 2020 hasta la publicación del SMI para 2021.</w:t>
      </w:r>
    </w:p>
    <w:tbl>
      <w:tblPr>
        <w:tblW w:w="0" w:type="auto"/>
        <w:tblCellMar>
          <w:top w:w="15" w:type="dxa"/>
          <w:left w:w="15" w:type="dxa"/>
          <w:bottom w:w="15" w:type="dxa"/>
          <w:right w:w="15" w:type="dxa"/>
        </w:tblCellMar>
        <w:tblLook w:val="04A0" w:firstRow="1" w:lastRow="0" w:firstColumn="1" w:lastColumn="0" w:noHBand="0" w:noVBand="1"/>
      </w:tblPr>
      <w:tblGrid>
        <w:gridCol w:w="2721"/>
        <w:gridCol w:w="924"/>
        <w:gridCol w:w="924"/>
        <w:gridCol w:w="3905"/>
      </w:tblGrid>
      <w:tr w:rsidR="00A5572E" w:rsidRPr="00A5572E" w14:paraId="6BE16A74"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5B8BEA3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Concepto</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1A5BE8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2020</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6E8A82B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2021</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52C5086F" w14:textId="4E1AD559"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p>
        </w:tc>
      </w:tr>
      <w:tr w:rsidR="00A5572E" w:rsidRPr="00A5572E" w14:paraId="49471C6F"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1BDE61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Contingencias Comunes (Cuota única mensual)</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D2FF2D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51,05 euros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3831132"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51,05 euros</w:t>
            </w:r>
          </w:p>
        </w:tc>
        <w:tc>
          <w:tcPr>
            <w:tcW w:w="0" w:type="auto"/>
            <w:vMerge w:val="restart"/>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63779C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PENDIENTE DE CAMBIOS EN CASO DE ACTUALIZACIÓN DEL SMI PARA 2021</w:t>
            </w:r>
          </w:p>
        </w:tc>
      </w:tr>
      <w:tr w:rsidR="00A5572E" w:rsidRPr="00A5572E" w14:paraId="1AAC3E2D"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81AAC0F"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Contingencias profesionales (Cuota única mensual)</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2479E3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5,85 euros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08D1A2A"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5,85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50319EF7"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sz w:val="24"/>
                <w:szCs w:val="24"/>
                <w:lang w:eastAsia="es-ES"/>
              </w:rPr>
            </w:pPr>
          </w:p>
        </w:tc>
      </w:tr>
      <w:tr w:rsidR="00A5572E" w:rsidRPr="00A5572E" w14:paraId="32EEE9E8"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CDA1305"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Fondo de Garantía Salarial (Cuota única mensual)</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5189C6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3,23 euros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C340ED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3,23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442AA453"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sz w:val="24"/>
                <w:szCs w:val="24"/>
                <w:lang w:eastAsia="es-ES"/>
              </w:rPr>
            </w:pPr>
          </w:p>
        </w:tc>
      </w:tr>
      <w:tr w:rsidR="00A5572E" w:rsidRPr="00A5572E" w14:paraId="47AD8F47"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12903663" w14:textId="76778854"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Desempleo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18323E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74,03 euros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F05D1CD"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74,03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7D4E80BB"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sz w:val="24"/>
                <w:szCs w:val="24"/>
                <w:lang w:eastAsia="es-ES"/>
              </w:rPr>
            </w:pPr>
          </w:p>
        </w:tc>
      </w:tr>
      <w:tr w:rsidR="00A5572E" w:rsidRPr="00A5572E" w14:paraId="3DA9915D"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685E6EAF" w14:textId="62B5E5EA"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Formación Profesional</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9C90BE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0D9D4EB"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3FC9D97E"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sz w:val="24"/>
                <w:szCs w:val="24"/>
                <w:lang w:eastAsia="es-ES"/>
              </w:rPr>
            </w:pPr>
          </w:p>
        </w:tc>
      </w:tr>
      <w:tr w:rsidR="00A5572E" w:rsidRPr="00A5572E" w14:paraId="6B5F76DF"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D3A72E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TOTAL (si procede cotizar desempleo)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655F044"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134,20 euros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9EF21F8"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134,20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05F6E297"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sz w:val="24"/>
                <w:szCs w:val="24"/>
                <w:lang w:eastAsia="es-ES"/>
              </w:rPr>
            </w:pPr>
          </w:p>
        </w:tc>
      </w:tr>
    </w:tbl>
    <w:p w14:paraId="486035CF" w14:textId="77423552" w:rsidR="00A5572E" w:rsidRPr="00A5572E" w:rsidRDefault="00A5572E" w:rsidP="00CE3CCD">
      <w:pPr>
        <w:shd w:val="clear" w:color="auto" w:fill="FFFFFF"/>
        <w:spacing w:after="150" w:line="240" w:lineRule="auto"/>
        <w:jc w:val="center"/>
        <w:rPr>
          <w:rFonts w:ascii="Arial" w:eastAsia="Times New Roman" w:hAnsi="Arial" w:cs="Arial"/>
          <w:color w:val="555555"/>
          <w:sz w:val="23"/>
          <w:szCs w:val="23"/>
          <w:lang w:eastAsia="es-ES"/>
        </w:rPr>
      </w:pPr>
    </w:p>
    <w:p w14:paraId="2DFD1626"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2. Moratoria en el pago de las cuotas con la Seguridad Social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43ª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61478260"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Las empresas y los trabajadores por cuenta propia incluidos en cualquier régimen de la Seguridad Social, siempre que se encuentren al corriente en sus obligaciones con la Seguridad Social y no tuvieran otro aplazamiento en vigor, podrán la moratoria en el pago de las cuotas con la Seguridad Social y por conceptos de recaudación conjunta cuyo devengo tenga lugar entre los meses de diciembre de 2020 y febrero de 2021, en el caso de empresas, y entre los meses de enero a marzo de 2021 en el caso de trabajadores autónomos.</w:t>
      </w:r>
    </w:p>
    <w:tbl>
      <w:tblPr>
        <w:tblW w:w="0" w:type="auto"/>
        <w:tblCellMar>
          <w:top w:w="15" w:type="dxa"/>
          <w:left w:w="15" w:type="dxa"/>
          <w:bottom w:w="15" w:type="dxa"/>
          <w:right w:w="15" w:type="dxa"/>
        </w:tblCellMar>
        <w:tblLook w:val="04A0" w:firstRow="1" w:lastRow="0" w:firstColumn="1" w:lastColumn="0" w:noHBand="0" w:noVBand="1"/>
      </w:tblPr>
      <w:tblGrid>
        <w:gridCol w:w="1838"/>
        <w:gridCol w:w="1424"/>
        <w:gridCol w:w="5212"/>
      </w:tblGrid>
      <w:tr w:rsidR="00A5572E" w:rsidRPr="00A5572E" w14:paraId="504B769D" w14:textId="77777777" w:rsidTr="00A5572E">
        <w:tc>
          <w:tcPr>
            <w:tcW w:w="1845" w:type="dxa"/>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0F617D29"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Entre el 1 y el 10 de enero</w:t>
            </w:r>
          </w:p>
        </w:tc>
        <w:tc>
          <w:tcPr>
            <w:tcW w:w="1425"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A0B5108"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i/>
                <w:iCs/>
                <w:sz w:val="24"/>
                <w:szCs w:val="24"/>
                <w:lang w:eastAsia="es-ES"/>
              </w:rPr>
              <w:t>Empresas</w:t>
            </w:r>
          </w:p>
        </w:tc>
        <w:tc>
          <w:tcPr>
            <w:tcW w:w="5235"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0F307028"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Podrán solicitar el aplazamiento de las cuotas correspondientes al período de liquidación de diciembre 2020.</w:t>
            </w:r>
          </w:p>
        </w:tc>
      </w:tr>
      <w:tr w:rsidR="00A5572E" w:rsidRPr="00A5572E" w14:paraId="12557ACF"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7A1234D5"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1425"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781BA6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i/>
                <w:iCs/>
                <w:sz w:val="24"/>
                <w:szCs w:val="24"/>
                <w:lang w:eastAsia="es-ES"/>
              </w:rPr>
              <w:t>Autónomos</w:t>
            </w:r>
          </w:p>
        </w:tc>
        <w:tc>
          <w:tcPr>
            <w:tcW w:w="523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6D7DD67"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Podrán solicitar el aplazamiento de las cuotas correspondientes al periodo de liquidación </w:t>
            </w:r>
            <w:r w:rsidRPr="00A5572E">
              <w:rPr>
                <w:rFonts w:ascii="Times New Roman" w:eastAsia="Times New Roman" w:hAnsi="Times New Roman" w:cs="Times New Roman"/>
                <w:b/>
                <w:bCs/>
                <w:sz w:val="24"/>
                <w:szCs w:val="24"/>
                <w:lang w:eastAsia="es-ES"/>
              </w:rPr>
              <w:t>de enero 2021.</w:t>
            </w:r>
          </w:p>
        </w:tc>
      </w:tr>
      <w:tr w:rsidR="00A5572E" w:rsidRPr="00A5572E" w14:paraId="04A1F22A" w14:textId="77777777" w:rsidTr="00A5572E">
        <w:tc>
          <w:tcPr>
            <w:tcW w:w="1845" w:type="dxa"/>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74550820" w14:textId="42047989"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Entre el 1 y el 10 de febrero</w:t>
            </w:r>
          </w:p>
        </w:tc>
        <w:tc>
          <w:tcPr>
            <w:tcW w:w="142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D25A4EA"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i/>
                <w:iCs/>
                <w:sz w:val="24"/>
                <w:szCs w:val="24"/>
                <w:lang w:eastAsia="es-ES"/>
              </w:rPr>
              <w:t>Empresas</w:t>
            </w:r>
          </w:p>
        </w:tc>
        <w:tc>
          <w:tcPr>
            <w:tcW w:w="523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834976D"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Podrán solicitar el aplazamiento de las cuotas correspondientes al período de liquidación de </w:t>
            </w:r>
            <w:r w:rsidRPr="00A5572E">
              <w:rPr>
                <w:rFonts w:ascii="Times New Roman" w:eastAsia="Times New Roman" w:hAnsi="Times New Roman" w:cs="Times New Roman"/>
                <w:b/>
                <w:bCs/>
                <w:sz w:val="24"/>
                <w:szCs w:val="24"/>
                <w:lang w:eastAsia="es-ES"/>
              </w:rPr>
              <w:t>enero 2021.</w:t>
            </w:r>
          </w:p>
        </w:tc>
      </w:tr>
      <w:tr w:rsidR="00A5572E" w:rsidRPr="00A5572E" w14:paraId="3D415095"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53D3E643"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1425"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3356A3E"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i/>
                <w:iCs/>
                <w:sz w:val="24"/>
                <w:szCs w:val="24"/>
                <w:lang w:eastAsia="es-ES"/>
              </w:rPr>
              <w:t>Autónomo</w:t>
            </w:r>
          </w:p>
        </w:tc>
        <w:tc>
          <w:tcPr>
            <w:tcW w:w="523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3396E18"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Podrán solicitar el aplazamiento de las cuotas correspondientes al periodo de liquidación de </w:t>
            </w:r>
            <w:r w:rsidRPr="00A5572E">
              <w:rPr>
                <w:rFonts w:ascii="Times New Roman" w:eastAsia="Times New Roman" w:hAnsi="Times New Roman" w:cs="Times New Roman"/>
                <w:b/>
                <w:bCs/>
                <w:sz w:val="24"/>
                <w:szCs w:val="24"/>
                <w:lang w:eastAsia="es-ES"/>
              </w:rPr>
              <w:t>febrero 2021.</w:t>
            </w:r>
          </w:p>
        </w:tc>
      </w:tr>
      <w:tr w:rsidR="00A5572E" w:rsidRPr="00A5572E" w14:paraId="60A32C9D" w14:textId="77777777" w:rsidTr="00A5572E">
        <w:tc>
          <w:tcPr>
            <w:tcW w:w="1845" w:type="dxa"/>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DBD4803"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lastRenderedPageBreak/>
              <w:t>Entre el 1 y el 10 de marzo</w:t>
            </w:r>
          </w:p>
        </w:tc>
        <w:tc>
          <w:tcPr>
            <w:tcW w:w="142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1805370"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i/>
                <w:iCs/>
                <w:sz w:val="24"/>
                <w:szCs w:val="24"/>
                <w:lang w:eastAsia="es-ES"/>
              </w:rPr>
              <w:t>Empresas</w:t>
            </w:r>
          </w:p>
        </w:tc>
        <w:tc>
          <w:tcPr>
            <w:tcW w:w="523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30DB9F2"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Podrán solicitar el aplazamiento de las cuotas correspondientes al período de liquidación </w:t>
            </w:r>
            <w:r w:rsidRPr="00A5572E">
              <w:rPr>
                <w:rFonts w:ascii="Times New Roman" w:eastAsia="Times New Roman" w:hAnsi="Times New Roman" w:cs="Times New Roman"/>
                <w:b/>
                <w:bCs/>
                <w:sz w:val="24"/>
                <w:szCs w:val="24"/>
                <w:lang w:eastAsia="es-ES"/>
              </w:rPr>
              <w:t>de febrero 2021.</w:t>
            </w:r>
          </w:p>
        </w:tc>
      </w:tr>
      <w:tr w:rsidR="00A5572E" w:rsidRPr="00A5572E" w14:paraId="5ECA4E72"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6EF3699C" w14:textId="77777777" w:rsidR="00A5572E" w:rsidRPr="00A5572E" w:rsidRDefault="00A5572E" w:rsidP="00CE3CCD">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1425"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B277911" w14:textId="77777777" w:rsidR="00A5572E" w:rsidRPr="00A5572E" w:rsidRDefault="00A5572E" w:rsidP="00CE3CCD">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i/>
                <w:iCs/>
                <w:sz w:val="24"/>
                <w:szCs w:val="24"/>
                <w:lang w:eastAsia="es-ES"/>
              </w:rPr>
              <w:t>Autónomos</w:t>
            </w:r>
          </w:p>
        </w:tc>
        <w:tc>
          <w:tcPr>
            <w:tcW w:w="523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45C2A2A"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Podrán solicitar el aplazamiento de las cuotas correspondientes al periodo de liquidación de </w:t>
            </w:r>
            <w:r w:rsidRPr="00A5572E">
              <w:rPr>
                <w:rFonts w:ascii="Times New Roman" w:eastAsia="Times New Roman" w:hAnsi="Times New Roman" w:cs="Times New Roman"/>
                <w:b/>
                <w:bCs/>
                <w:sz w:val="24"/>
                <w:szCs w:val="24"/>
                <w:lang w:eastAsia="es-ES"/>
              </w:rPr>
              <w:t>marzo 2021.</w:t>
            </w:r>
          </w:p>
        </w:tc>
      </w:tr>
    </w:tbl>
    <w:p w14:paraId="1230464E"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i/>
          <w:iCs/>
          <w:color w:val="555555"/>
          <w:sz w:val="23"/>
          <w:szCs w:val="23"/>
          <w:lang w:eastAsia="es-ES"/>
        </w:rPr>
        <w:t xml:space="preserve">* Plazos según </w:t>
      </w:r>
      <w:proofErr w:type="spellStart"/>
      <w:r w:rsidRPr="00A5572E">
        <w:rPr>
          <w:rFonts w:ascii="Arial" w:eastAsia="Times New Roman" w:hAnsi="Arial" w:cs="Arial"/>
          <w:i/>
          <w:iCs/>
          <w:color w:val="555555"/>
          <w:sz w:val="23"/>
          <w:szCs w:val="23"/>
          <w:lang w:eastAsia="es-ES"/>
        </w:rPr>
        <w:t>BNR</w:t>
      </w:r>
      <w:proofErr w:type="spellEnd"/>
      <w:r w:rsidRPr="00A5572E">
        <w:rPr>
          <w:rFonts w:ascii="Arial" w:eastAsia="Times New Roman" w:hAnsi="Arial" w:cs="Arial"/>
          <w:i/>
          <w:iCs/>
          <w:color w:val="555555"/>
          <w:sz w:val="23"/>
          <w:szCs w:val="23"/>
          <w:lang w:eastAsia="es-ES"/>
        </w:rPr>
        <w:t xml:space="preserve"> 1/2021, de 5 de enero de 2021.</w:t>
      </w:r>
    </w:p>
    <w:p w14:paraId="6105DE7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3. Contrato para la formación dual universitaria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36ª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3934B461"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Dando nueva redacción al art. </w:t>
      </w:r>
      <w:hyperlink r:id="rId10" w:anchor="ancla_9265101" w:tgtFrame="_blank" w:history="1">
        <w:r w:rsidRPr="00A5572E">
          <w:rPr>
            <w:rFonts w:ascii="Arial" w:eastAsia="Times New Roman" w:hAnsi="Arial" w:cs="Arial"/>
            <w:color w:val="2F83E0"/>
            <w:sz w:val="23"/>
            <w:szCs w:val="23"/>
            <w:lang w:eastAsia="es-ES"/>
          </w:rPr>
          <w:t>11.3</w:t>
        </w:r>
      </w:hyperlink>
      <w:r w:rsidRPr="00A5572E">
        <w:rPr>
          <w:rFonts w:ascii="Arial" w:eastAsia="Times New Roman" w:hAnsi="Arial" w:cs="Arial"/>
          <w:color w:val="555555"/>
          <w:sz w:val="23"/>
          <w:szCs w:val="23"/>
          <w:lang w:eastAsia="es-ES"/>
        </w:rPr>
        <w:t> de la Ley del </w:t>
      </w:r>
      <w:hyperlink r:id="rId11" w:tgtFrame="_blank" w:history="1">
        <w:r w:rsidRPr="00A5572E">
          <w:rPr>
            <w:rFonts w:ascii="Arial" w:eastAsia="Times New Roman" w:hAnsi="Arial" w:cs="Arial"/>
            <w:color w:val="2F83E0"/>
            <w:sz w:val="23"/>
            <w:szCs w:val="23"/>
            <w:lang w:eastAsia="es-ES"/>
          </w:rPr>
          <w:t>Estatuto de los Trabajadores</w:t>
        </w:r>
      </w:hyperlink>
      <w:r w:rsidRPr="00A5572E">
        <w:rPr>
          <w:rFonts w:ascii="Arial" w:eastAsia="Times New Roman" w:hAnsi="Arial" w:cs="Arial"/>
          <w:color w:val="555555"/>
          <w:sz w:val="23"/>
          <w:szCs w:val="23"/>
          <w:lang w:eastAsia="es-ES"/>
        </w:rPr>
        <w:t>, se introduce una </w:t>
      </w:r>
      <w:r w:rsidRPr="00A5572E">
        <w:rPr>
          <w:rFonts w:ascii="Arial" w:eastAsia="Times New Roman" w:hAnsi="Arial" w:cs="Arial"/>
          <w:b/>
          <w:bCs/>
          <w:color w:val="555555"/>
          <w:sz w:val="23"/>
          <w:szCs w:val="23"/>
          <w:lang w:eastAsia="es-ES"/>
        </w:rPr>
        <w:t>nueva modalidad de contrato formativo</w:t>
      </w:r>
      <w:r w:rsidRPr="00A5572E">
        <w:rPr>
          <w:rFonts w:ascii="Arial" w:eastAsia="Times New Roman" w:hAnsi="Arial" w:cs="Arial"/>
          <w:color w:val="555555"/>
          <w:sz w:val="23"/>
          <w:szCs w:val="23"/>
          <w:lang w:eastAsia="es-ES"/>
        </w:rPr>
        <w:t>: «contrato para la formación dual universitaria».</w:t>
      </w:r>
    </w:p>
    <w:p w14:paraId="35F8C0B6"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4. Indemnizaciones a cargo del Fondo de Garantía Salarial (</w:t>
      </w:r>
      <w:proofErr w:type="spellStart"/>
      <w:r w:rsidRPr="00A5572E">
        <w:rPr>
          <w:rFonts w:ascii="Arial" w:eastAsia="Times New Roman" w:hAnsi="Arial" w:cs="Arial"/>
          <w:b/>
          <w:bCs/>
          <w:color w:val="555555"/>
          <w:sz w:val="23"/>
          <w:szCs w:val="23"/>
          <w:lang w:eastAsia="es-ES"/>
        </w:rPr>
        <w:t>FOGASA</w:t>
      </w:r>
      <w:proofErr w:type="spellEnd"/>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36ª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2305C6EF"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Con la modificación del art. </w:t>
      </w:r>
      <w:hyperlink r:id="rId12" w:anchor="ancla_9265371" w:tgtFrame="_blank" w:history="1">
        <w:r w:rsidRPr="00A5572E">
          <w:rPr>
            <w:rFonts w:ascii="Arial" w:eastAsia="Times New Roman" w:hAnsi="Arial" w:cs="Arial"/>
            <w:color w:val="2F83E0"/>
            <w:sz w:val="23"/>
            <w:szCs w:val="23"/>
            <w:lang w:eastAsia="es-ES"/>
          </w:rPr>
          <w:t>33.2</w:t>
        </w:r>
      </w:hyperlink>
      <w:r w:rsidRPr="00A5572E">
        <w:rPr>
          <w:rFonts w:ascii="Arial" w:eastAsia="Times New Roman" w:hAnsi="Arial" w:cs="Arial"/>
          <w:color w:val="555555"/>
          <w:sz w:val="23"/>
          <w:szCs w:val="23"/>
          <w:lang w:eastAsia="es-ES"/>
        </w:rPr>
        <w:t> </w:t>
      </w:r>
      <w:hyperlink r:id="rId13" w:tgtFrame="_blank" w:history="1">
        <w:r w:rsidRPr="00A5572E">
          <w:rPr>
            <w:rFonts w:ascii="Arial" w:eastAsia="Times New Roman" w:hAnsi="Arial" w:cs="Arial"/>
            <w:color w:val="2F83E0"/>
            <w:sz w:val="23"/>
            <w:szCs w:val="23"/>
            <w:lang w:eastAsia="es-ES"/>
          </w:rPr>
          <w:t>ET</w:t>
        </w:r>
      </w:hyperlink>
      <w:r w:rsidRPr="00A5572E">
        <w:rPr>
          <w:rFonts w:ascii="Arial" w:eastAsia="Times New Roman" w:hAnsi="Arial" w:cs="Arial"/>
          <w:color w:val="555555"/>
          <w:sz w:val="23"/>
          <w:szCs w:val="23"/>
          <w:lang w:eastAsia="es-ES"/>
        </w:rPr>
        <w:t> pasa a incluirse dentro de la acción protectora del Fondo las indemnizaciones en caso de extinción del contrato a instancia del trabajador como consecuencia de traslado (art. </w:t>
      </w:r>
      <w:hyperlink r:id="rId14" w:anchor="ancla_9265471" w:tgtFrame="_blank" w:history="1">
        <w:r w:rsidRPr="00A5572E">
          <w:rPr>
            <w:rFonts w:ascii="Arial" w:eastAsia="Times New Roman" w:hAnsi="Arial" w:cs="Arial"/>
            <w:color w:val="2F83E0"/>
            <w:sz w:val="23"/>
            <w:szCs w:val="23"/>
            <w:lang w:eastAsia="es-ES"/>
          </w:rPr>
          <w:t>40.1</w:t>
        </w:r>
      </w:hyperlink>
      <w:r w:rsidRPr="00A5572E">
        <w:rPr>
          <w:rFonts w:ascii="Arial" w:eastAsia="Times New Roman" w:hAnsi="Arial" w:cs="Arial"/>
          <w:color w:val="555555"/>
          <w:sz w:val="23"/>
          <w:szCs w:val="23"/>
          <w:lang w:eastAsia="es-ES"/>
        </w:rPr>
        <w:t> </w:t>
      </w:r>
      <w:hyperlink r:id="rId15" w:tgtFrame="_blank" w:history="1">
        <w:r w:rsidRPr="00A5572E">
          <w:rPr>
            <w:rFonts w:ascii="Arial" w:eastAsia="Times New Roman" w:hAnsi="Arial" w:cs="Arial"/>
            <w:color w:val="2F83E0"/>
            <w:sz w:val="23"/>
            <w:szCs w:val="23"/>
            <w:lang w:eastAsia="es-ES"/>
          </w:rPr>
          <w:t>ET</w:t>
        </w:r>
      </w:hyperlink>
      <w:r w:rsidRPr="00A5572E">
        <w:rPr>
          <w:rFonts w:ascii="Arial" w:eastAsia="Times New Roman" w:hAnsi="Arial" w:cs="Arial"/>
          <w:color w:val="555555"/>
          <w:sz w:val="23"/>
          <w:szCs w:val="23"/>
          <w:lang w:eastAsia="es-ES"/>
        </w:rPr>
        <w:t>) o de una modificación sustancial de condiciones de trabajo (art. </w:t>
      </w:r>
      <w:hyperlink r:id="rId16" w:anchor="ancla_9265481" w:tgtFrame="_blank" w:history="1">
        <w:r w:rsidRPr="00A5572E">
          <w:rPr>
            <w:rFonts w:ascii="Arial" w:eastAsia="Times New Roman" w:hAnsi="Arial" w:cs="Arial"/>
            <w:color w:val="2F83E0"/>
            <w:sz w:val="23"/>
            <w:szCs w:val="23"/>
            <w:lang w:eastAsia="es-ES"/>
          </w:rPr>
          <w:t>41.3</w:t>
        </w:r>
      </w:hyperlink>
      <w:r w:rsidRPr="00A5572E">
        <w:rPr>
          <w:rFonts w:ascii="Arial" w:eastAsia="Times New Roman" w:hAnsi="Arial" w:cs="Arial"/>
          <w:color w:val="555555"/>
          <w:sz w:val="23"/>
          <w:szCs w:val="23"/>
          <w:lang w:eastAsia="es-ES"/>
        </w:rPr>
        <w:t> </w:t>
      </w:r>
      <w:hyperlink r:id="rId17" w:tgtFrame="_blank" w:history="1">
        <w:r w:rsidRPr="00A5572E">
          <w:rPr>
            <w:rFonts w:ascii="Arial" w:eastAsia="Times New Roman" w:hAnsi="Arial" w:cs="Arial"/>
            <w:color w:val="2F83E0"/>
            <w:sz w:val="23"/>
            <w:szCs w:val="23"/>
            <w:lang w:eastAsia="es-ES"/>
          </w:rPr>
          <w:t>ET</w:t>
        </w:r>
      </w:hyperlink>
      <w:r w:rsidRPr="00A5572E">
        <w:rPr>
          <w:rFonts w:ascii="Arial" w:eastAsia="Times New Roman" w:hAnsi="Arial" w:cs="Arial"/>
          <w:color w:val="555555"/>
          <w:sz w:val="23"/>
          <w:szCs w:val="23"/>
          <w:lang w:eastAsia="es-ES"/>
        </w:rPr>
        <w:t>).</w:t>
      </w:r>
    </w:p>
    <w:p w14:paraId="2FAD76DF"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5. Cotización en supuestos de compatibilidad de jubilación y trabajo (</w:t>
      </w:r>
      <w:proofErr w:type="spellStart"/>
      <w:r w:rsidRPr="00A5572E">
        <w:rPr>
          <w:rFonts w:ascii="Arial" w:eastAsia="Times New Roman" w:hAnsi="Arial" w:cs="Arial"/>
          <w:b/>
          <w:bCs/>
          <w:color w:val="555555"/>
          <w:sz w:val="23"/>
          <w:szCs w:val="23"/>
          <w:lang w:eastAsia="es-ES"/>
        </w:rPr>
        <w:t>D.F</w:t>
      </w:r>
      <w:proofErr w:type="spellEnd"/>
      <w:r w:rsidRPr="00A5572E">
        <w:rPr>
          <w:rFonts w:ascii="Arial" w:eastAsia="Times New Roman" w:hAnsi="Arial" w:cs="Arial"/>
          <w:b/>
          <w:bCs/>
          <w:color w:val="555555"/>
          <w:sz w:val="23"/>
          <w:szCs w:val="23"/>
          <w:lang w:eastAsia="es-ES"/>
        </w:rPr>
        <w:t xml:space="preserve"> 38 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2CB61DC2"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introducen cambios en la cotización en supuestos de compatibilidad de jubilación y trabajo, estipulándose una cotización especial de solidaridad del 9% sobre la base de cotización por contingencias comunes para personas trabajadoras cuenta ajena y propia.</w:t>
      </w:r>
    </w:p>
    <w:p w14:paraId="61A05FA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5.1. Cotización en supuestos de compatibilidad de jubilación y trabajo por cuenta ajena</w:t>
      </w:r>
    </w:p>
    <w:tbl>
      <w:tblPr>
        <w:tblW w:w="0" w:type="auto"/>
        <w:tblCellMar>
          <w:top w:w="15" w:type="dxa"/>
          <w:left w:w="15" w:type="dxa"/>
          <w:bottom w:w="15" w:type="dxa"/>
          <w:right w:w="15" w:type="dxa"/>
        </w:tblCellMar>
        <w:tblLook w:val="04A0" w:firstRow="1" w:lastRow="0" w:firstColumn="1" w:lastColumn="0" w:noHBand="0" w:noVBand="1"/>
      </w:tblPr>
      <w:tblGrid>
        <w:gridCol w:w="2073"/>
        <w:gridCol w:w="1950"/>
        <w:gridCol w:w="1965"/>
        <w:gridCol w:w="1845"/>
      </w:tblGrid>
      <w:tr w:rsidR="00A5572E" w:rsidRPr="00A5572E" w14:paraId="27AC8509" w14:textId="77777777" w:rsidTr="00A5572E">
        <w:tc>
          <w:tcPr>
            <w:tcW w:w="204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6082BB79" w14:textId="3B96233C"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p>
        </w:tc>
        <w:tc>
          <w:tcPr>
            <w:tcW w:w="1950"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125EEC1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2020</w:t>
            </w:r>
          </w:p>
        </w:tc>
        <w:tc>
          <w:tcPr>
            <w:tcW w:w="1965"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5E93439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 2021</w:t>
            </w:r>
          </w:p>
        </w:tc>
        <w:tc>
          <w:tcPr>
            <w:tcW w:w="1845"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52948B30" w14:textId="09D2759D"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p>
        </w:tc>
      </w:tr>
      <w:tr w:rsidR="00A5572E" w:rsidRPr="00A5572E" w14:paraId="5270488D" w14:textId="77777777" w:rsidTr="00A5572E">
        <w:tc>
          <w:tcPr>
            <w:tcW w:w="204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078608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Cotización especial de solidaridad (art. 153 </w:t>
            </w:r>
            <w:hyperlink r:id="rId18" w:tgtFrame="_blank" w:history="1">
              <w:r w:rsidRPr="00A5572E">
                <w:rPr>
                  <w:rFonts w:ascii="Times New Roman" w:eastAsia="Times New Roman" w:hAnsi="Times New Roman" w:cs="Times New Roman"/>
                  <w:b/>
                  <w:bCs/>
                  <w:color w:val="2F83E0"/>
                  <w:sz w:val="24"/>
                  <w:szCs w:val="24"/>
                  <w:lang w:eastAsia="es-ES"/>
                </w:rPr>
                <w:t>LGSS</w:t>
              </w:r>
            </w:hyperlink>
            <w:r w:rsidRPr="00A5572E">
              <w:rPr>
                <w:rFonts w:ascii="Times New Roman" w:eastAsia="Times New Roman" w:hAnsi="Times New Roman" w:cs="Times New Roman"/>
                <w:b/>
                <w:bCs/>
                <w:sz w:val="24"/>
                <w:szCs w:val="24"/>
                <w:lang w:eastAsia="es-ES"/>
              </w:rPr>
              <w:t>)</w:t>
            </w:r>
          </w:p>
        </w:tc>
        <w:tc>
          <w:tcPr>
            <w:tcW w:w="195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51B954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8%</w:t>
            </w:r>
          </w:p>
          <w:p w14:paraId="4E3A78CB" w14:textId="69F6CB8B"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p>
          <w:p w14:paraId="3438DFD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         </w:t>
            </w:r>
            <w:r w:rsidRPr="00A5572E">
              <w:rPr>
                <w:rFonts w:ascii="Times New Roman" w:eastAsia="Times New Roman" w:hAnsi="Times New Roman" w:cs="Times New Roman"/>
                <w:i/>
                <w:iCs/>
                <w:sz w:val="24"/>
                <w:szCs w:val="24"/>
                <w:lang w:eastAsia="es-ES"/>
              </w:rPr>
              <w:t>6% a cargo del empresario</w:t>
            </w:r>
          </w:p>
          <w:p w14:paraId="04EFD14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         </w:t>
            </w:r>
            <w:r w:rsidRPr="00A5572E">
              <w:rPr>
                <w:rFonts w:ascii="Times New Roman" w:eastAsia="Times New Roman" w:hAnsi="Times New Roman" w:cs="Times New Roman"/>
                <w:i/>
                <w:iCs/>
                <w:sz w:val="24"/>
                <w:szCs w:val="24"/>
                <w:lang w:eastAsia="es-ES"/>
              </w:rPr>
              <w:t>2% a cargo del trabajador</w:t>
            </w:r>
          </w:p>
        </w:tc>
        <w:tc>
          <w:tcPr>
            <w:tcW w:w="196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F3CAE5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9%</w:t>
            </w:r>
          </w:p>
          <w:p w14:paraId="55FA259D" w14:textId="3BEB8696"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p>
          <w:p w14:paraId="7881CD6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         7% a cargo del empresario</w:t>
            </w:r>
          </w:p>
          <w:p w14:paraId="26B0D7CF"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         2% a cargo del trabajador</w:t>
            </w:r>
          </w:p>
        </w:tc>
        <w:tc>
          <w:tcPr>
            <w:tcW w:w="1845"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953E47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INCREMENTO DEL 1 %</w:t>
            </w:r>
          </w:p>
        </w:tc>
      </w:tr>
    </w:tbl>
    <w:p w14:paraId="389C2037"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 </w:t>
      </w:r>
    </w:p>
    <w:p w14:paraId="588CB366"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5.2. Cotización en supuestos de compatibilidad de jubilación y trabajo por cuenta propia.</w:t>
      </w:r>
    </w:p>
    <w:tbl>
      <w:tblPr>
        <w:tblW w:w="0" w:type="auto"/>
        <w:tblCellMar>
          <w:top w:w="15" w:type="dxa"/>
          <w:left w:w="15" w:type="dxa"/>
          <w:bottom w:w="15" w:type="dxa"/>
          <w:right w:w="15" w:type="dxa"/>
        </w:tblCellMar>
        <w:tblLook w:val="04A0" w:firstRow="1" w:lastRow="0" w:firstColumn="1" w:lastColumn="0" w:noHBand="0" w:noVBand="1"/>
      </w:tblPr>
      <w:tblGrid>
        <w:gridCol w:w="2055"/>
        <w:gridCol w:w="1935"/>
        <w:gridCol w:w="1905"/>
        <w:gridCol w:w="1905"/>
      </w:tblGrid>
      <w:tr w:rsidR="00A5572E" w:rsidRPr="00A5572E" w14:paraId="41CAEEF0" w14:textId="77777777" w:rsidTr="00A5572E">
        <w:tc>
          <w:tcPr>
            <w:tcW w:w="2055" w:type="dxa"/>
            <w:shd w:val="clear" w:color="auto" w:fill="auto"/>
            <w:tcMar>
              <w:top w:w="0" w:type="dxa"/>
              <w:left w:w="0" w:type="dxa"/>
              <w:bottom w:w="0" w:type="dxa"/>
              <w:right w:w="0" w:type="dxa"/>
            </w:tcMar>
            <w:vAlign w:val="center"/>
            <w:hideMark/>
          </w:tcPr>
          <w:p w14:paraId="28CB2C98" w14:textId="77777777" w:rsidR="00A5572E" w:rsidRPr="00A5572E" w:rsidRDefault="00A5572E" w:rsidP="00AC6D8E">
            <w:pPr>
              <w:spacing w:after="150" w:line="240" w:lineRule="auto"/>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Cotización especial de solidaridad (art. 309 </w:t>
            </w:r>
            <w:hyperlink r:id="rId19" w:tgtFrame="_blank" w:history="1">
              <w:r w:rsidRPr="00A5572E">
                <w:rPr>
                  <w:rFonts w:ascii="Times New Roman" w:eastAsia="Times New Roman" w:hAnsi="Times New Roman" w:cs="Times New Roman"/>
                  <w:b/>
                  <w:bCs/>
                  <w:color w:val="2F83E0"/>
                  <w:sz w:val="24"/>
                  <w:szCs w:val="24"/>
                  <w:lang w:eastAsia="es-ES"/>
                </w:rPr>
                <w:t>LGSS</w:t>
              </w:r>
            </w:hyperlink>
            <w:r w:rsidRPr="00A5572E">
              <w:rPr>
                <w:rFonts w:ascii="Times New Roman" w:eastAsia="Times New Roman" w:hAnsi="Times New Roman" w:cs="Times New Roman"/>
                <w:b/>
                <w:bCs/>
                <w:sz w:val="24"/>
                <w:szCs w:val="24"/>
                <w:lang w:eastAsia="es-ES"/>
              </w:rPr>
              <w:t>)</w:t>
            </w:r>
          </w:p>
        </w:tc>
        <w:tc>
          <w:tcPr>
            <w:tcW w:w="1935" w:type="dxa"/>
            <w:shd w:val="clear" w:color="auto" w:fill="auto"/>
            <w:tcMar>
              <w:top w:w="0" w:type="dxa"/>
              <w:left w:w="0" w:type="dxa"/>
              <w:bottom w:w="0" w:type="dxa"/>
              <w:right w:w="0" w:type="dxa"/>
            </w:tcMar>
            <w:vAlign w:val="center"/>
            <w:hideMark/>
          </w:tcPr>
          <w:p w14:paraId="157A8336" w14:textId="77777777" w:rsidR="00A5572E" w:rsidRPr="00A5572E" w:rsidRDefault="00A5572E" w:rsidP="00AC6D8E">
            <w:pPr>
              <w:spacing w:after="150" w:line="240" w:lineRule="auto"/>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8%</w:t>
            </w:r>
          </w:p>
        </w:tc>
        <w:tc>
          <w:tcPr>
            <w:tcW w:w="1905" w:type="dxa"/>
            <w:shd w:val="clear" w:color="auto" w:fill="auto"/>
            <w:tcMar>
              <w:top w:w="0" w:type="dxa"/>
              <w:left w:w="0" w:type="dxa"/>
              <w:bottom w:w="0" w:type="dxa"/>
              <w:right w:w="0" w:type="dxa"/>
            </w:tcMar>
            <w:vAlign w:val="center"/>
            <w:hideMark/>
          </w:tcPr>
          <w:p w14:paraId="180866BE" w14:textId="77777777" w:rsidR="00A5572E" w:rsidRPr="00A5572E" w:rsidRDefault="00A5572E" w:rsidP="00AC6D8E">
            <w:pPr>
              <w:spacing w:after="150" w:line="240" w:lineRule="auto"/>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9%</w:t>
            </w:r>
          </w:p>
        </w:tc>
        <w:tc>
          <w:tcPr>
            <w:tcW w:w="1905" w:type="dxa"/>
            <w:shd w:val="clear" w:color="auto" w:fill="auto"/>
            <w:tcMar>
              <w:top w:w="0" w:type="dxa"/>
              <w:left w:w="0" w:type="dxa"/>
              <w:bottom w:w="0" w:type="dxa"/>
              <w:right w:w="0" w:type="dxa"/>
            </w:tcMar>
            <w:vAlign w:val="center"/>
            <w:hideMark/>
          </w:tcPr>
          <w:p w14:paraId="155A3C60" w14:textId="77777777" w:rsidR="00A5572E" w:rsidRPr="00A5572E" w:rsidRDefault="00A5572E" w:rsidP="00AC6D8E">
            <w:pPr>
              <w:spacing w:after="150" w:line="240" w:lineRule="auto"/>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INCREMENTO DEL 1 %</w:t>
            </w:r>
          </w:p>
        </w:tc>
      </w:tr>
    </w:tbl>
    <w:p w14:paraId="003EF15F" w14:textId="77777777" w:rsidR="00AC6D8E" w:rsidRDefault="00A5572E" w:rsidP="00E37A4D">
      <w:pPr>
        <w:shd w:val="clear" w:color="auto" w:fill="FFFFFF"/>
        <w:spacing w:after="150" w:line="240" w:lineRule="auto"/>
        <w:jc w:val="both"/>
        <w:rPr>
          <w:rFonts w:ascii="Arial" w:eastAsia="Times New Roman" w:hAnsi="Arial" w:cs="Arial"/>
          <w:b/>
          <w:bCs/>
          <w:color w:val="555555"/>
          <w:sz w:val="23"/>
          <w:szCs w:val="23"/>
          <w:lang w:eastAsia="es-ES"/>
        </w:rPr>
      </w:pPr>
      <w:r w:rsidRPr="00A5572E">
        <w:rPr>
          <w:rFonts w:ascii="Arial" w:eastAsia="Times New Roman" w:hAnsi="Arial" w:cs="Arial"/>
          <w:b/>
          <w:bCs/>
          <w:color w:val="555555"/>
          <w:sz w:val="23"/>
          <w:szCs w:val="23"/>
          <w:lang w:eastAsia="es-ES"/>
        </w:rPr>
        <w:t> </w:t>
      </w:r>
    </w:p>
    <w:p w14:paraId="69DC7DF4"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00A7ACA0"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213D52A5" w14:textId="4AD8F7CF"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lastRenderedPageBreak/>
        <w:t>6. IPREM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121ª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4898352B"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determina el indicador público de renta de efectos múltiples (IPREM) para 2021 con las siguientes cuantías durante 2021:</w:t>
      </w:r>
    </w:p>
    <w:p w14:paraId="123C996D" w14:textId="5EA4ACC2" w:rsidR="00A5572E" w:rsidRPr="00A5572E" w:rsidRDefault="00A5572E" w:rsidP="00E37A4D">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xml:space="preserve">a) IPREM diario: </w:t>
      </w:r>
      <w:r w:rsidR="00AC6D8E">
        <w:rPr>
          <w:rFonts w:ascii="Arial" w:eastAsia="Times New Roman" w:hAnsi="Arial" w:cs="Arial"/>
          <w:color w:val="555555"/>
          <w:sz w:val="23"/>
          <w:szCs w:val="23"/>
          <w:lang w:eastAsia="es-ES"/>
        </w:rPr>
        <w:t xml:space="preserve">         </w:t>
      </w:r>
      <w:r w:rsidRPr="00A5572E">
        <w:rPr>
          <w:rFonts w:ascii="Arial" w:eastAsia="Times New Roman" w:hAnsi="Arial" w:cs="Arial"/>
          <w:color w:val="555555"/>
          <w:sz w:val="23"/>
          <w:szCs w:val="23"/>
          <w:lang w:eastAsia="es-ES"/>
        </w:rPr>
        <w:t>18,83 euros.</w:t>
      </w:r>
    </w:p>
    <w:p w14:paraId="39D6A62B" w14:textId="6E84798C" w:rsidR="00A5572E" w:rsidRPr="00A5572E" w:rsidRDefault="00A5572E" w:rsidP="00E37A4D">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xml:space="preserve">b) IPREM mensual: </w:t>
      </w:r>
      <w:r w:rsidR="00AC6D8E">
        <w:rPr>
          <w:rFonts w:ascii="Arial" w:eastAsia="Times New Roman" w:hAnsi="Arial" w:cs="Arial"/>
          <w:color w:val="555555"/>
          <w:sz w:val="23"/>
          <w:szCs w:val="23"/>
          <w:lang w:eastAsia="es-ES"/>
        </w:rPr>
        <w:t xml:space="preserve">  </w:t>
      </w:r>
      <w:r w:rsidRPr="00A5572E">
        <w:rPr>
          <w:rFonts w:ascii="Arial" w:eastAsia="Times New Roman" w:hAnsi="Arial" w:cs="Arial"/>
          <w:color w:val="555555"/>
          <w:sz w:val="23"/>
          <w:szCs w:val="23"/>
          <w:lang w:eastAsia="es-ES"/>
        </w:rPr>
        <w:t>564,90 euros.</w:t>
      </w:r>
    </w:p>
    <w:p w14:paraId="7AB1829B" w14:textId="6376C65C" w:rsidR="00A5572E" w:rsidRPr="00A5572E" w:rsidRDefault="00A5572E" w:rsidP="00E37A4D">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xml:space="preserve">c) IPREM anual: </w:t>
      </w:r>
      <w:r w:rsidR="00AC6D8E">
        <w:rPr>
          <w:rFonts w:ascii="Arial" w:eastAsia="Times New Roman" w:hAnsi="Arial" w:cs="Arial"/>
          <w:color w:val="555555"/>
          <w:sz w:val="23"/>
          <w:szCs w:val="23"/>
          <w:lang w:eastAsia="es-ES"/>
        </w:rPr>
        <w:t xml:space="preserve">    </w:t>
      </w:r>
      <w:r w:rsidRPr="00A5572E">
        <w:rPr>
          <w:rFonts w:ascii="Arial" w:eastAsia="Times New Roman" w:hAnsi="Arial" w:cs="Arial"/>
          <w:color w:val="555555"/>
          <w:sz w:val="23"/>
          <w:szCs w:val="23"/>
          <w:lang w:eastAsia="es-ES"/>
        </w:rPr>
        <w:t>6.778,80 euros.</w:t>
      </w:r>
    </w:p>
    <w:p w14:paraId="06EC5CFD" w14:textId="77777777" w:rsidR="00A5572E" w:rsidRPr="00A5572E" w:rsidRDefault="00A5572E" w:rsidP="00E37A4D">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d) En los supuestos en que la referencia al salario mínimo interprofesional ha sido sustituida por la referencia al IPREM en aplicación de lo establecido en el Real Decreto-ley 3/2004, de 25 de junio, la cuantía anual del IPREM será de 7.908,60 euros cuando las correspondientes normas se refieran al salario mínimo interprofesional en cómputo anual, salvo que expresamente excluyeran las pagas extraordinarias; en este caso, la cuantía será de 6.778,80 euros.</w:t>
      </w:r>
    </w:p>
    <w:tbl>
      <w:tblPr>
        <w:tblW w:w="9255" w:type="dxa"/>
        <w:tblCellMar>
          <w:top w:w="15" w:type="dxa"/>
          <w:left w:w="15" w:type="dxa"/>
          <w:bottom w:w="15" w:type="dxa"/>
          <w:right w:w="15" w:type="dxa"/>
        </w:tblCellMar>
        <w:tblLook w:val="04A0" w:firstRow="1" w:lastRow="0" w:firstColumn="1" w:lastColumn="0" w:noHBand="0" w:noVBand="1"/>
      </w:tblPr>
      <w:tblGrid>
        <w:gridCol w:w="717"/>
        <w:gridCol w:w="2188"/>
        <w:gridCol w:w="3175"/>
        <w:gridCol w:w="3175"/>
      </w:tblGrid>
      <w:tr w:rsidR="00A5572E" w:rsidRPr="00A5572E" w14:paraId="1910CD08"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34B7FFF2" w14:textId="6B37DF5A"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11E2BCEF"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IPREM mensual</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4276E46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IPREM anual (12 pagas)</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662448F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IPREM anual (14 pagas)</w:t>
            </w:r>
          </w:p>
        </w:tc>
      </w:tr>
      <w:tr w:rsidR="00A5572E" w:rsidRPr="00A5572E" w14:paraId="07E00E1E"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34966B7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2020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9A4CF7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537,80 €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2B76338" w14:textId="59806453"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6.454,03 €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066192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7.519,59 €</w:t>
            </w:r>
          </w:p>
        </w:tc>
      </w:tr>
      <w:tr w:rsidR="00A5572E" w:rsidRPr="00A5572E" w14:paraId="261EB012"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398A4EA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2021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9F8D1B0" w14:textId="2D959BE5"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564,90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990FF1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6.778,80 €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A95F68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7.908,60 €</w:t>
            </w:r>
          </w:p>
        </w:tc>
      </w:tr>
      <w:tr w:rsidR="00A5572E" w:rsidRPr="00A5572E" w14:paraId="21D12699" w14:textId="77777777" w:rsidTr="00A5572E">
        <w:tc>
          <w:tcPr>
            <w:tcW w:w="0" w:type="auto"/>
            <w:gridSpan w:val="4"/>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2556A0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INCREMENTO DEL 5 %</w:t>
            </w:r>
          </w:p>
        </w:tc>
      </w:tr>
    </w:tbl>
    <w:p w14:paraId="6FC27AD2"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 </w:t>
      </w:r>
    </w:p>
    <w:p w14:paraId="12EEC6D3"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7. Contratos fijos discontinuos en los sectores de turismo y comercio y hostelería vinculados a la actividad turística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122 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6D4E3BEE"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xml:space="preserve">Con efectos desde el 1 de enero de 2021 y vigencia indefinida, las empresas, excluidas las pertenecientes al sector público, dedicadas a actividades encuadradas en los sectores de turismo, así como los de comercio y hostelería, siempre que se encuentren vinculados a dicho sector del turismo, que generen actividad productiva en los meses de febrero, marzo y noviembre de cada año y que inicien y/o mantengan en alta durante dichos meses la ocupación de los trabajadores con contratos de carácter fijo discontinuo, podrán aplicar una bonificación en dichos meses del 50 por ciento de las cuotas empresariales a la Seguridad Social por contingencias comunes, así como por los conceptos de recaudación conjunta de Desempleo, </w:t>
      </w:r>
      <w:proofErr w:type="spellStart"/>
      <w:r w:rsidRPr="00A5572E">
        <w:rPr>
          <w:rFonts w:ascii="Arial" w:eastAsia="Times New Roman" w:hAnsi="Arial" w:cs="Arial"/>
          <w:color w:val="555555"/>
          <w:sz w:val="23"/>
          <w:szCs w:val="23"/>
          <w:lang w:eastAsia="es-ES"/>
        </w:rPr>
        <w:t>FOGASA</w:t>
      </w:r>
      <w:proofErr w:type="spellEnd"/>
      <w:r w:rsidRPr="00A5572E">
        <w:rPr>
          <w:rFonts w:ascii="Arial" w:eastAsia="Times New Roman" w:hAnsi="Arial" w:cs="Arial"/>
          <w:color w:val="555555"/>
          <w:sz w:val="23"/>
          <w:szCs w:val="23"/>
          <w:lang w:eastAsia="es-ES"/>
        </w:rPr>
        <w:t xml:space="preserve"> y Formación Profesional de dichos trabajadores.</w:t>
      </w:r>
    </w:p>
    <w:p w14:paraId="6D5E0AE6"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8. Bonificación cambio de puesto de trabajo por riesgo durante el embarazo o durante la lactancia natural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123ª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4BD51A0E"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mantiene la bonificación del 50 por ciento en la cotización empresarial en los supuestos de cambio de puesto de trabajo por riesgo durante el embarazo o durante la lactancia natural, así como en los supuestos de enfermedad profesional.</w:t>
      </w:r>
    </w:p>
    <w:p w14:paraId="495578B5"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9. Crédito de formación profesional para el empleo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124ª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6F0487A0" w14:textId="5F8A6E91" w:rsid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Las empresas que cotizan por la contingencia de formación profesional dispondrán de un crédito para la formación de sus trabajadores de acuerdo con lo establecido en el artículo 9 de la Ley 30/2015, de 9 de septiembre, que resultará de aplicar a la cuantía ingresada por la empresa en concepto de formación profesional durante el año 2020 el porcentaje de bonificación que, en función del tamaño de las empresas, se establece a continuación:</w:t>
      </w:r>
    </w:p>
    <w:p w14:paraId="5CC08A5D" w14:textId="6188FBE2" w:rsidR="00AC6D8E" w:rsidRDefault="00AC6D8E" w:rsidP="00E37A4D">
      <w:pPr>
        <w:shd w:val="clear" w:color="auto" w:fill="FFFFFF"/>
        <w:spacing w:after="150" w:line="240" w:lineRule="auto"/>
        <w:jc w:val="both"/>
        <w:rPr>
          <w:rFonts w:ascii="Arial" w:eastAsia="Times New Roman" w:hAnsi="Arial" w:cs="Arial"/>
          <w:color w:val="555555"/>
          <w:sz w:val="23"/>
          <w:szCs w:val="23"/>
          <w:lang w:eastAsia="es-ES"/>
        </w:rPr>
      </w:pPr>
    </w:p>
    <w:p w14:paraId="5F33EEBB" w14:textId="77777777" w:rsidR="00AC6D8E" w:rsidRPr="00A5572E" w:rsidRDefault="00AC6D8E" w:rsidP="00E37A4D">
      <w:pPr>
        <w:shd w:val="clear" w:color="auto" w:fill="FFFFFF"/>
        <w:spacing w:after="150" w:line="240" w:lineRule="auto"/>
        <w:jc w:val="both"/>
        <w:rPr>
          <w:rFonts w:ascii="Arial" w:eastAsia="Times New Roman" w:hAnsi="Arial" w:cs="Arial"/>
          <w:color w:val="555555"/>
          <w:sz w:val="23"/>
          <w:szCs w:val="23"/>
          <w:lang w:eastAsia="es-ES"/>
        </w:rPr>
      </w:pPr>
    </w:p>
    <w:p w14:paraId="1BD3F718" w14:textId="77777777" w:rsidR="00A5572E" w:rsidRPr="00A5572E" w:rsidRDefault="00A5572E" w:rsidP="00E37A4D">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lastRenderedPageBreak/>
        <w:t>a) Empresas de 6 a 9 trabajadores: 100 por ciento.</w:t>
      </w:r>
    </w:p>
    <w:p w14:paraId="2DBB11D6" w14:textId="77777777" w:rsidR="00A5572E" w:rsidRPr="00A5572E" w:rsidRDefault="00A5572E" w:rsidP="00E37A4D">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b) De 10 a 49 trabajadores: 75 por ciento.</w:t>
      </w:r>
    </w:p>
    <w:p w14:paraId="7CA80878" w14:textId="77777777" w:rsidR="00A5572E" w:rsidRPr="00A5572E" w:rsidRDefault="00A5572E" w:rsidP="00E37A4D">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c) De 50 a 249 trabajadores: 60 por ciento.</w:t>
      </w:r>
    </w:p>
    <w:p w14:paraId="5559D99B" w14:textId="77777777" w:rsidR="00A5572E" w:rsidRPr="00A5572E" w:rsidRDefault="00A5572E" w:rsidP="00E37A4D">
      <w:pPr>
        <w:numPr>
          <w:ilvl w:val="0"/>
          <w:numId w:val="8"/>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d) De 250 o más trabajadores: 50 por ciento.</w:t>
      </w:r>
    </w:p>
    <w:p w14:paraId="72FDEC71"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Las empresas de 1 a 5 trabajadores dispondrán de un crédito de bonificación por empresa de 420 euros, en lugar de un porcentaje. Asimismo, podrán beneficiarse de un crédito de formación, en los términos establecidos en la citada normativa, las empresas que durante el año 2021 abran nuevos centros de trabajo, así como las empresas de nueva creación, cuando incorporen a su plantilla nuevos trabajadores. En estos supuestos las empresas dispondrán de un crédito de bonificaciones cuyo importe resultará de aplicar al número de trabajadores de nueva incorporación la cuantía de 65 euros.</w:t>
      </w:r>
    </w:p>
    <w:p w14:paraId="1264A2CA"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Las empresas que durante el año 2021 concedan permisos individuales de formación a sus trabajadores dispondrán de un crédito de bonificaciones para formación adicional al crédito anual que les correspondería de conformidad con lo establecido en el párrafo primero de este apartado, por el importe que resulte de aplicar los criterios determinados por la normativa aplicable. El crédito adicional asignado al conjunto de las empresas que concedan los citados permisos no podrá superar el 5 por ciento del crédito establecido en el presupuesto del Servicio Público de Empleo Estatal para la financiación de las bonificaciones en las cotizaciones de la Seguridad Social por formación profesional para el empleo.</w:t>
      </w:r>
    </w:p>
    <w:p w14:paraId="39C5DD0D"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10.- Suspensión del sistema de reducción de las cotizaciones por contingencias profesionales por disminución de la siniestralidad laboral (</w:t>
      </w:r>
      <w:proofErr w:type="spellStart"/>
      <w:r w:rsidRPr="00A5572E">
        <w:rPr>
          <w:rFonts w:ascii="Arial" w:eastAsia="Times New Roman" w:hAnsi="Arial" w:cs="Arial"/>
          <w:b/>
          <w:bCs/>
          <w:color w:val="555555"/>
          <w:sz w:val="23"/>
          <w:szCs w:val="23"/>
          <w:lang w:eastAsia="es-ES"/>
        </w:rPr>
        <w:t>D.A</w:t>
      </w:r>
      <w:proofErr w:type="spellEnd"/>
      <w:r w:rsidRPr="00A5572E">
        <w:rPr>
          <w:rFonts w:ascii="Arial" w:eastAsia="Times New Roman" w:hAnsi="Arial" w:cs="Arial"/>
          <w:b/>
          <w:bCs/>
          <w:color w:val="555555"/>
          <w:sz w:val="23"/>
          <w:szCs w:val="23"/>
          <w:lang w:eastAsia="es-ES"/>
        </w:rPr>
        <w:t xml:space="preserve"> 127ª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76BE0201"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suspende la aplicación del sistema de reducción de las cotizaciones por contingencias profesionales a las empresas que hayan disminuido de manera considerable la siniestralidad laboral, prevista en el Real Decreto 231/2017, de 10 de marzo, para las cotizaciones que se generen durante el año 2021. Esta suspensión se extenderá hasta que el Gobierno proceda a la reforma del citado real decreto, que deberá producirse a lo largo del año 2021.</w:t>
      </w:r>
    </w:p>
    <w:p w14:paraId="725FC8BC"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11. Cuantías y revalorización de pensiones (Arts. </w:t>
      </w:r>
      <w:hyperlink r:id="rId20" w:anchor="ancla_9633899" w:tgtFrame="_blank" w:history="1">
        <w:r w:rsidRPr="00A5572E">
          <w:rPr>
            <w:rFonts w:ascii="Arial" w:eastAsia="Times New Roman" w:hAnsi="Arial" w:cs="Arial"/>
            <w:b/>
            <w:bCs/>
            <w:color w:val="2F83E0"/>
            <w:sz w:val="23"/>
            <w:szCs w:val="23"/>
            <w:lang w:eastAsia="es-ES"/>
          </w:rPr>
          <w:t>35-41</w:t>
        </w:r>
      </w:hyperlink>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5FA4D58C"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aplica para 2021 una subida generalizada del 0,9%, siendo el porcentaje del 1,8 por ciento en el caso de las pensiones no contributivas.</w:t>
      </w:r>
    </w:p>
    <w:p w14:paraId="51A1426F"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11.1 Cuantías mínimas de las pensiones de la modalidad contributiva del Sistema de la Seguridad Social para el año 2021</w:t>
      </w:r>
    </w:p>
    <w:tbl>
      <w:tblPr>
        <w:tblW w:w="0" w:type="auto"/>
        <w:tblCellMar>
          <w:top w:w="15" w:type="dxa"/>
          <w:left w:w="15" w:type="dxa"/>
          <w:bottom w:w="15" w:type="dxa"/>
          <w:right w:w="15" w:type="dxa"/>
        </w:tblCellMar>
        <w:tblLook w:val="04A0" w:firstRow="1" w:lastRow="0" w:firstColumn="1" w:lastColumn="0" w:noHBand="0" w:noVBand="1"/>
      </w:tblPr>
      <w:tblGrid>
        <w:gridCol w:w="2199"/>
        <w:gridCol w:w="1081"/>
        <w:gridCol w:w="894"/>
        <w:gridCol w:w="1268"/>
        <w:gridCol w:w="1051"/>
        <w:gridCol w:w="1105"/>
        <w:gridCol w:w="876"/>
      </w:tblGrid>
      <w:tr w:rsidR="00A5572E" w:rsidRPr="00A5572E" w14:paraId="599C8DD0" w14:textId="77777777" w:rsidTr="00A5572E">
        <w:tc>
          <w:tcPr>
            <w:tcW w:w="0" w:type="auto"/>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327E8FB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JUBILACIÓN</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3C5C2ED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 cónyuge a cargo</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377D629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Sin cónyuge: Unidad económica unipersonal</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603B2F9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 cónyuge no a cargo</w:t>
            </w:r>
          </w:p>
        </w:tc>
      </w:tr>
      <w:tr w:rsidR="00A5572E" w:rsidRPr="00A5572E" w14:paraId="2291957F"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65F950FB"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8A4A70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FA82BA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w:t>
            </w:r>
          </w:p>
          <w:p w14:paraId="019E9DE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(14 pagas)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D1C554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3012F2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w:t>
            </w:r>
          </w:p>
          <w:p w14:paraId="5F7B021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(14 pagas)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D0B660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954E95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w:t>
            </w:r>
          </w:p>
          <w:p w14:paraId="1988723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(14 pagas)</w:t>
            </w:r>
          </w:p>
        </w:tc>
      </w:tr>
      <w:tr w:rsidR="00A5572E" w:rsidRPr="00A5572E" w14:paraId="1B00EDAA"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620FED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Titular con 65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ADDE99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11.914</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E57B52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851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5CE5F7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9.655,80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931CD4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689,70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69BC28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9.164,40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0828A5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654,60</w:t>
            </w:r>
          </w:p>
        </w:tc>
      </w:tr>
      <w:tr w:rsidR="00A5572E" w:rsidRPr="00A5572E" w14:paraId="768D6FE5"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DAA5AF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Titular menor de 65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B7179A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11.170,60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B5491B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797,70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66642F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9.034,20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C22D2E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645,30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F016FA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8.538,60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5248EF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609,90</w:t>
            </w:r>
          </w:p>
        </w:tc>
      </w:tr>
      <w:tr w:rsidR="00A5572E" w:rsidRPr="00A5572E" w14:paraId="0392674F"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B0AA00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lastRenderedPageBreak/>
              <w:t>Titular con 65 años procedente de gran invalidez.</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1AACFF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17.871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0F8136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1.276,5</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80C97B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14.484,40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624ACF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1.034</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80C014F"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13.746,60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F9AE00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981,90</w:t>
            </w:r>
          </w:p>
        </w:tc>
      </w:tr>
    </w:tbl>
    <w:p w14:paraId="2291FC98"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2240"/>
        <w:gridCol w:w="1080"/>
        <w:gridCol w:w="977"/>
        <w:gridCol w:w="1174"/>
        <w:gridCol w:w="1078"/>
        <w:gridCol w:w="1093"/>
        <w:gridCol w:w="832"/>
      </w:tblGrid>
      <w:tr w:rsidR="00A5572E" w:rsidRPr="00A5572E" w14:paraId="1FAADB68" w14:textId="77777777" w:rsidTr="00A5572E">
        <w:tc>
          <w:tcPr>
            <w:tcW w:w="0" w:type="auto"/>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5594243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INCAPACIDAD PERMANENTE</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F3E396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 cónyuge a cargo</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012C318F"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Sin cónyuge: Unidad económica unipersonal</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1775DCF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 cónyuge no a cargo</w:t>
            </w:r>
          </w:p>
        </w:tc>
      </w:tr>
      <w:tr w:rsidR="00A5572E" w:rsidRPr="00A5572E" w14:paraId="62DCFC1A"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78AFE46E"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EDB48A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D7E4A0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w:t>
            </w:r>
          </w:p>
          <w:p w14:paraId="40EB3DA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(14 pagas)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BA8BEE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3AF92B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w:t>
            </w:r>
          </w:p>
          <w:p w14:paraId="719C02D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(14 pagas)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925F13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FA2745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w:t>
            </w:r>
          </w:p>
          <w:p w14:paraId="6654EB8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(14 pagas)</w:t>
            </w:r>
          </w:p>
        </w:tc>
      </w:tr>
      <w:tr w:rsidR="00A5572E" w:rsidRPr="00A5572E" w14:paraId="47C04202"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2C04BA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Gran invalidez</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623608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17.871,00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63B9FA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1.276,50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8684D0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14.484,40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460592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1.034,57</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F48921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13.746,60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E1A732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981,85</w:t>
            </w:r>
          </w:p>
        </w:tc>
      </w:tr>
      <w:tr w:rsidR="00A5572E" w:rsidRPr="00A5572E" w14:paraId="5B1A692B"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35B1325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Absoluta</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9E46DB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11.914,00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B5133C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851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53D667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9.655,80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F919E9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689,70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07E680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9.164,40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C6934C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689,60</w:t>
            </w:r>
          </w:p>
        </w:tc>
      </w:tr>
      <w:tr w:rsidR="00A5572E" w:rsidRPr="00A5572E" w14:paraId="3D0826B8"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1F417D4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Total: Titular con 65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E6FBA6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11.914,00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F4FB2D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851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F8C309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9.655,80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030752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689,70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E0A6B6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9.164,40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0C6FDE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689,60</w:t>
            </w:r>
          </w:p>
        </w:tc>
      </w:tr>
      <w:tr w:rsidR="00A5572E" w:rsidRPr="00A5572E" w14:paraId="502F70F6"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7CC22E7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Total: Titular con edad entre 60 y 64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07D925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11.170,60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C63672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797,90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C79E7D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9.034,20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BBFE95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645,30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C66838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8.538,60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3D1517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609,90</w:t>
            </w:r>
          </w:p>
        </w:tc>
      </w:tr>
      <w:tr w:rsidR="00A5572E" w:rsidRPr="00A5572E" w14:paraId="0E3DF304"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70D7DAF"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Total: Derivada de enfermedad común menor de 60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B9B872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7.119,00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89BCDB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508,50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C2EA48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7.119,00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46B268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508,50</w:t>
            </w:r>
          </w:p>
          <w:p w14:paraId="5DB23EE4" w14:textId="665A6FC5"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A23AAF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7.056</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5627C0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504</w:t>
            </w:r>
          </w:p>
        </w:tc>
      </w:tr>
      <w:tr w:rsidR="00A5572E" w:rsidRPr="00A5572E" w14:paraId="749EDB6E"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79A0905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Parcial del régimen de accidentes de trabajo: Titular con 65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FCDE95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11.914,00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97D8E2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851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0C2C54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9.655,80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B16481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689,70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0D7C53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9.164,40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0B681D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654,60</w:t>
            </w:r>
          </w:p>
        </w:tc>
      </w:tr>
    </w:tbl>
    <w:p w14:paraId="0D55071F"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4899"/>
        <w:gridCol w:w="1453"/>
        <w:gridCol w:w="2122"/>
      </w:tblGrid>
      <w:tr w:rsidR="00A5572E" w:rsidRPr="00A5572E" w14:paraId="47B67586" w14:textId="77777777" w:rsidTr="00A5572E">
        <w:tc>
          <w:tcPr>
            <w:tcW w:w="0" w:type="auto"/>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11FEEE8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VIUDEDAD</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7C1188B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Sin cónyuge: Unidad económica unipersonal</w:t>
            </w:r>
          </w:p>
        </w:tc>
      </w:tr>
      <w:tr w:rsidR="00A5572E" w:rsidRPr="00A5572E" w14:paraId="32EA3C26"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3DC77391"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7A94C0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4D5A36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 (14 pagas)</w:t>
            </w:r>
          </w:p>
        </w:tc>
      </w:tr>
      <w:tr w:rsidR="00A5572E" w:rsidRPr="00A5572E" w14:paraId="5B84D82A"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F124B3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Titular con cargas familiares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BDBFC1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11.170,60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162849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797,90</w:t>
            </w:r>
          </w:p>
        </w:tc>
      </w:tr>
      <w:tr w:rsidR="00A5572E" w:rsidRPr="00A5572E" w14:paraId="62D327B4"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1265982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Titular con 65 años o con discapacidad en grado igual o superior al 65 %</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E8AE24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9.655,80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1180DB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689,70</w:t>
            </w:r>
          </w:p>
        </w:tc>
      </w:tr>
      <w:tr w:rsidR="00A5572E" w:rsidRPr="00A5572E" w14:paraId="6B36329B"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9A718C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Titular con edad entre 60 y 65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A6D815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9.034,20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607257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645,30</w:t>
            </w:r>
          </w:p>
        </w:tc>
      </w:tr>
      <w:tr w:rsidR="00A5572E" w:rsidRPr="00A5572E" w14:paraId="7C72072C"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19404A5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Titular con menos de 60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271948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7.315,00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6A5C92A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522,50</w:t>
            </w:r>
          </w:p>
        </w:tc>
      </w:tr>
    </w:tbl>
    <w:p w14:paraId="3D8A1746"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2737"/>
        <w:gridCol w:w="1692"/>
        <w:gridCol w:w="1714"/>
        <w:gridCol w:w="2331"/>
      </w:tblGrid>
      <w:tr w:rsidR="00A5572E" w:rsidRPr="00A5572E" w14:paraId="526354F5" w14:textId="77777777" w:rsidTr="00A5572E">
        <w:tc>
          <w:tcPr>
            <w:tcW w:w="0" w:type="auto"/>
            <w:gridSpan w:val="2"/>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75ABAEA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i/>
                <w:iCs/>
                <w:sz w:val="24"/>
                <w:szCs w:val="24"/>
                <w:lang w:eastAsia="es-ES"/>
              </w:rPr>
              <w:t>ORFANDAD</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5658D8F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9879B7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€/mes (14 pagas)</w:t>
            </w:r>
          </w:p>
        </w:tc>
      </w:tr>
      <w:tr w:rsidR="00A5572E" w:rsidRPr="00A5572E" w14:paraId="2A653192" w14:textId="77777777" w:rsidTr="00A5572E">
        <w:tc>
          <w:tcPr>
            <w:tcW w:w="0" w:type="auto"/>
            <w:gridSpan w:val="2"/>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7BF0E1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Por beneficiario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78CBFC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2.951,20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DA6284F"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210,80</w:t>
            </w:r>
          </w:p>
        </w:tc>
      </w:tr>
      <w:tr w:rsidR="00A5572E" w:rsidRPr="00A5572E" w14:paraId="2ECDDF5C" w14:textId="77777777" w:rsidTr="00A5572E">
        <w:tc>
          <w:tcPr>
            <w:tcW w:w="0" w:type="auto"/>
            <w:gridSpan w:val="2"/>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72B83D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Por beneficiario menor de 18 años con una discapacidad en grado igual o superior al 65 por 100</w:t>
            </w:r>
          </w:p>
          <w:p w14:paraId="2B6D5B65" w14:textId="367ED1BA"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D58037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5.805,80</w:t>
            </w:r>
          </w:p>
          <w:p w14:paraId="5488C00B" w14:textId="3A409B65"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D3C567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414,70</w:t>
            </w:r>
          </w:p>
        </w:tc>
      </w:tr>
      <w:tr w:rsidR="00A5572E" w:rsidRPr="00A5572E" w14:paraId="5F3BD2CA" w14:textId="77777777" w:rsidTr="00A5572E">
        <w:tc>
          <w:tcPr>
            <w:tcW w:w="0" w:type="auto"/>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AFE94E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lastRenderedPageBreak/>
              <w:t>Orfandad absoluta</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03A2480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Un solo beneficiario</w:t>
            </w:r>
          </w:p>
          <w:p w14:paraId="03B197D9" w14:textId="5B964ED3"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F1B23DE"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El mínimo se incrementará en 7.315,00 euros/año distribuidos, en su caso, entre los beneficiarios.</w:t>
            </w:r>
          </w:p>
        </w:tc>
      </w:tr>
      <w:tr w:rsidR="00A5572E" w:rsidRPr="00A5572E" w14:paraId="2A949B77"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151272BE"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7FC890F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Varios beneficiarios</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C6DC7BE"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El mínimo se incrementará en 7.315,00 euros/año distribuidos, en su caso, entre los beneficiarios.</w:t>
            </w:r>
          </w:p>
        </w:tc>
      </w:tr>
      <w:tr w:rsidR="00A5572E" w:rsidRPr="00A5572E" w14:paraId="3D322F51" w14:textId="77777777" w:rsidTr="00A5572E">
        <w:tc>
          <w:tcPr>
            <w:tcW w:w="0" w:type="auto"/>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221CFD1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Orfandad por violencia de Género (</w:t>
            </w:r>
            <w:hyperlink r:id="rId21" w:tgtFrame="_blank" w:history="1">
              <w:r w:rsidRPr="00A5572E">
                <w:rPr>
                  <w:rFonts w:ascii="Times New Roman" w:eastAsia="Times New Roman" w:hAnsi="Times New Roman" w:cs="Times New Roman"/>
                  <w:b/>
                  <w:bCs/>
                  <w:color w:val="2F83E0"/>
                  <w:sz w:val="24"/>
                  <w:szCs w:val="24"/>
                  <w:lang w:eastAsia="es-ES"/>
                </w:rPr>
                <w:t>Ley 3/2019, de 1 de marzo</w:t>
              </w:r>
            </w:hyperlink>
            <w:r w:rsidRPr="00A5572E">
              <w:rPr>
                <w:rFonts w:ascii="Times New Roman" w:eastAsia="Times New Roman" w:hAnsi="Times New Roman" w:cs="Times New Roman"/>
                <w:b/>
                <w:bCs/>
                <w:sz w:val="24"/>
                <w:szCs w:val="24"/>
                <w:lang w:eastAsia="es-ES"/>
              </w:rPr>
              <w:t>)</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D266BE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Un solo beneficiario</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605F26D"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PENDIENTE DE CAMBIOS EN CASO DE ACTUALIZACIÓN DEL SMI PARA 2021</w:t>
            </w:r>
          </w:p>
        </w:tc>
      </w:tr>
      <w:tr w:rsidR="00A5572E" w:rsidRPr="00A5572E" w14:paraId="33ECCAE2" w14:textId="77777777" w:rsidTr="00A5572E">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494E0999"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1D2FDE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Varios beneficiarios</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662B5FF" w14:textId="77777777" w:rsidR="00A5572E" w:rsidRPr="00A5572E" w:rsidRDefault="00A5572E" w:rsidP="00E37A4D">
            <w:pPr>
              <w:spacing w:before="45" w:after="45" w:line="240" w:lineRule="auto"/>
              <w:ind w:left="45" w:right="45"/>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PENDIENTE DE CAMBIOS EN CASO DE ACTUALIZACIÓN DEL SMI PARA 2021</w:t>
            </w:r>
          </w:p>
        </w:tc>
      </w:tr>
    </w:tbl>
    <w:p w14:paraId="1E301260"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2769"/>
        <w:gridCol w:w="2151"/>
        <w:gridCol w:w="3554"/>
      </w:tblGrid>
      <w:tr w:rsidR="00A5572E" w:rsidRPr="00A5572E" w14:paraId="51347B2F"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353DB14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EN FAVOR DE FAMILIARES</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1AC7112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€/año</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61E960D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€/mes (14 pagas)</w:t>
            </w:r>
          </w:p>
        </w:tc>
      </w:tr>
      <w:tr w:rsidR="00A5572E" w:rsidRPr="00A5572E" w14:paraId="1750C36A"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65668F9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Por beneficiario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A9E912F"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2.951,20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03473F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210,80</w:t>
            </w:r>
          </w:p>
        </w:tc>
      </w:tr>
      <w:tr w:rsidR="00A5572E" w:rsidRPr="00A5572E" w14:paraId="58E41123"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10656B57" w14:textId="305AEC64"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Si no existe viuda ni huérfano que sean pensionistas</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DD3941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w:t>
            </w:r>
          </w:p>
        </w:tc>
      </w:tr>
      <w:tr w:rsidR="00A5572E" w:rsidRPr="00A5572E" w14:paraId="096AE976"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0725810" w14:textId="2B2B75D9"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Un solo beneficiario con 65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DA92A5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7.131,60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DC92A5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509,40</w:t>
            </w:r>
          </w:p>
        </w:tc>
      </w:tr>
      <w:tr w:rsidR="00A5572E" w:rsidRPr="00A5572E" w14:paraId="57E68C0F"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658B05C4" w14:textId="3D54BE2E"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Un solo beneficiario con menos de 65 años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1692F5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6.721,40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B4A994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480,10</w:t>
            </w:r>
          </w:p>
        </w:tc>
      </w:tr>
      <w:tr w:rsidR="00A5572E" w:rsidRPr="00A5572E" w14:paraId="64627C98"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42980AC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Varios beneficiarios</w:t>
            </w:r>
          </w:p>
        </w:tc>
        <w:tc>
          <w:tcPr>
            <w:tcW w:w="0" w:type="auto"/>
            <w:gridSpan w:val="2"/>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DE2E47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El mínimo asignado a cada uno de ellos se incrementará en el importe que resulte de prorratear 4.363,80 euros/año entre el número de beneficiarios.</w:t>
            </w:r>
          </w:p>
        </w:tc>
      </w:tr>
    </w:tbl>
    <w:p w14:paraId="3152C03E"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6690"/>
        <w:gridCol w:w="923"/>
        <w:gridCol w:w="891"/>
      </w:tblGrid>
      <w:tr w:rsidR="00A5572E" w:rsidRPr="00A5572E" w14:paraId="137217F1" w14:textId="77777777" w:rsidTr="00A5572E">
        <w:tc>
          <w:tcPr>
            <w:tcW w:w="0" w:type="auto"/>
            <w:shd w:val="clear" w:color="auto" w:fill="auto"/>
            <w:tcMar>
              <w:top w:w="0" w:type="dxa"/>
              <w:left w:w="0" w:type="dxa"/>
              <w:bottom w:w="0" w:type="dxa"/>
              <w:right w:w="0" w:type="dxa"/>
            </w:tcMar>
            <w:vAlign w:val="center"/>
            <w:hideMark/>
          </w:tcPr>
          <w:p w14:paraId="4EA5C903"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PENSIONES DEL EXTINGUIDO SEGURO OBLIGATORIO DE VEJEZ E INVALIDEZ (</w:t>
            </w:r>
            <w:proofErr w:type="spellStart"/>
            <w:r w:rsidRPr="00A5572E">
              <w:rPr>
                <w:rFonts w:ascii="Times New Roman" w:eastAsia="Times New Roman" w:hAnsi="Times New Roman" w:cs="Times New Roman"/>
                <w:b/>
                <w:bCs/>
                <w:sz w:val="24"/>
                <w:szCs w:val="24"/>
                <w:lang w:eastAsia="es-ES"/>
              </w:rPr>
              <w:t>SOVI</w:t>
            </w:r>
            <w:proofErr w:type="spellEnd"/>
            <w:r w:rsidRPr="00A5572E">
              <w:rPr>
                <w:rFonts w:ascii="Times New Roman" w:eastAsia="Times New Roman" w:hAnsi="Times New Roman" w:cs="Times New Roman"/>
                <w:b/>
                <w:bCs/>
                <w:sz w:val="24"/>
                <w:szCs w:val="24"/>
                <w:lang w:eastAsia="es-ES"/>
              </w:rPr>
              <w:t>)</w:t>
            </w:r>
          </w:p>
        </w:tc>
        <w:tc>
          <w:tcPr>
            <w:tcW w:w="0" w:type="auto"/>
            <w:shd w:val="clear" w:color="auto" w:fill="auto"/>
            <w:tcMar>
              <w:top w:w="0" w:type="dxa"/>
              <w:left w:w="0" w:type="dxa"/>
              <w:bottom w:w="0" w:type="dxa"/>
              <w:right w:w="0" w:type="dxa"/>
            </w:tcMar>
            <w:vAlign w:val="center"/>
            <w:hideMark/>
          </w:tcPr>
          <w:p w14:paraId="491D64A9" w14:textId="73DA8116" w:rsidR="00A5572E" w:rsidRPr="00A5572E" w:rsidRDefault="00AC6D8E" w:rsidP="00E37A4D">
            <w:pPr>
              <w:spacing w:after="15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       </w:t>
            </w:r>
            <w:r w:rsidR="00A5572E" w:rsidRPr="00A5572E">
              <w:rPr>
                <w:rFonts w:ascii="Times New Roman" w:eastAsia="Times New Roman" w:hAnsi="Times New Roman" w:cs="Times New Roman"/>
                <w:b/>
                <w:bCs/>
                <w:sz w:val="24"/>
                <w:szCs w:val="24"/>
                <w:lang w:eastAsia="es-ES"/>
              </w:rPr>
              <w:t>€/año</w:t>
            </w:r>
          </w:p>
        </w:tc>
        <w:tc>
          <w:tcPr>
            <w:tcW w:w="0" w:type="auto"/>
            <w:shd w:val="clear" w:color="auto" w:fill="auto"/>
            <w:tcMar>
              <w:top w:w="0" w:type="dxa"/>
              <w:left w:w="0" w:type="dxa"/>
              <w:bottom w:w="0" w:type="dxa"/>
              <w:right w:w="0" w:type="dxa"/>
            </w:tcMar>
            <w:vAlign w:val="center"/>
            <w:hideMark/>
          </w:tcPr>
          <w:p w14:paraId="07AB88CE"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€/mes</w:t>
            </w:r>
          </w:p>
          <w:p w14:paraId="5AABFF68"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(14 pagas)</w:t>
            </w:r>
          </w:p>
        </w:tc>
      </w:tr>
      <w:tr w:rsidR="00A5572E" w:rsidRPr="00A5572E" w14:paraId="47EF36B4" w14:textId="77777777" w:rsidTr="00A5572E">
        <w:tc>
          <w:tcPr>
            <w:tcW w:w="0" w:type="auto"/>
            <w:shd w:val="clear" w:color="auto" w:fill="auto"/>
            <w:tcMar>
              <w:top w:w="0" w:type="dxa"/>
              <w:left w:w="0" w:type="dxa"/>
              <w:bottom w:w="0" w:type="dxa"/>
              <w:right w:w="0" w:type="dxa"/>
            </w:tcMar>
            <w:vAlign w:val="center"/>
            <w:hideMark/>
          </w:tcPr>
          <w:p w14:paraId="1B0D4641"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Vejez, invalidez y viudedad        </w:t>
            </w:r>
          </w:p>
        </w:tc>
        <w:tc>
          <w:tcPr>
            <w:tcW w:w="0" w:type="auto"/>
            <w:shd w:val="clear" w:color="auto" w:fill="auto"/>
            <w:tcMar>
              <w:top w:w="0" w:type="dxa"/>
              <w:left w:w="0" w:type="dxa"/>
              <w:bottom w:w="0" w:type="dxa"/>
              <w:right w:w="0" w:type="dxa"/>
            </w:tcMar>
            <w:vAlign w:val="center"/>
            <w:hideMark/>
          </w:tcPr>
          <w:p w14:paraId="674CECF3"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6.183,80</w:t>
            </w:r>
          </w:p>
        </w:tc>
        <w:tc>
          <w:tcPr>
            <w:tcW w:w="0" w:type="auto"/>
            <w:shd w:val="clear" w:color="auto" w:fill="auto"/>
            <w:tcMar>
              <w:top w:w="0" w:type="dxa"/>
              <w:left w:w="0" w:type="dxa"/>
              <w:bottom w:w="0" w:type="dxa"/>
              <w:right w:w="0" w:type="dxa"/>
            </w:tcMar>
            <w:vAlign w:val="center"/>
            <w:hideMark/>
          </w:tcPr>
          <w:p w14:paraId="0D2B0F1B"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441,70</w:t>
            </w:r>
          </w:p>
        </w:tc>
      </w:tr>
      <w:tr w:rsidR="00A5572E" w:rsidRPr="00A5572E" w14:paraId="64895E10" w14:textId="77777777" w:rsidTr="00A5572E">
        <w:tc>
          <w:tcPr>
            <w:tcW w:w="0" w:type="auto"/>
            <w:shd w:val="clear" w:color="auto" w:fill="auto"/>
            <w:tcMar>
              <w:top w:w="0" w:type="dxa"/>
              <w:left w:w="0" w:type="dxa"/>
              <w:bottom w:w="0" w:type="dxa"/>
              <w:right w:w="0" w:type="dxa"/>
            </w:tcMar>
            <w:vAlign w:val="center"/>
            <w:hideMark/>
          </w:tcPr>
          <w:p w14:paraId="3F128490"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Concurrencia con pensiones de viudedad de alguno de los regímenes del sistema de la Seguridad Social</w:t>
            </w:r>
          </w:p>
        </w:tc>
        <w:tc>
          <w:tcPr>
            <w:tcW w:w="0" w:type="auto"/>
            <w:shd w:val="clear" w:color="auto" w:fill="auto"/>
            <w:tcMar>
              <w:top w:w="0" w:type="dxa"/>
              <w:left w:w="0" w:type="dxa"/>
              <w:bottom w:w="0" w:type="dxa"/>
              <w:right w:w="0" w:type="dxa"/>
            </w:tcMar>
            <w:vAlign w:val="center"/>
            <w:hideMark/>
          </w:tcPr>
          <w:p w14:paraId="447454BD"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6.001,80</w:t>
            </w:r>
          </w:p>
        </w:tc>
        <w:tc>
          <w:tcPr>
            <w:tcW w:w="0" w:type="auto"/>
            <w:shd w:val="clear" w:color="auto" w:fill="auto"/>
            <w:tcMar>
              <w:top w:w="0" w:type="dxa"/>
              <w:left w:w="0" w:type="dxa"/>
              <w:bottom w:w="0" w:type="dxa"/>
              <w:right w:w="0" w:type="dxa"/>
            </w:tcMar>
            <w:vAlign w:val="center"/>
            <w:hideMark/>
          </w:tcPr>
          <w:p w14:paraId="3DE3BAFD" w14:textId="77777777" w:rsidR="00A5572E" w:rsidRPr="00A5572E" w:rsidRDefault="00A5572E" w:rsidP="00E37A4D">
            <w:pPr>
              <w:spacing w:after="150" w:line="240" w:lineRule="auto"/>
              <w:jc w:val="both"/>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428,70</w:t>
            </w:r>
          </w:p>
        </w:tc>
      </w:tr>
    </w:tbl>
    <w:p w14:paraId="0B4994E9" w14:textId="77777777" w:rsidR="00AC6D8E" w:rsidRDefault="00AC6D8E" w:rsidP="00E37A4D">
      <w:pPr>
        <w:shd w:val="clear" w:color="auto" w:fill="FFFFFF"/>
        <w:spacing w:after="150" w:line="240" w:lineRule="auto"/>
        <w:jc w:val="both"/>
        <w:rPr>
          <w:rFonts w:ascii="Arial" w:eastAsia="Times New Roman" w:hAnsi="Arial" w:cs="Arial"/>
          <w:b/>
          <w:bCs/>
          <w:i/>
          <w:iCs/>
          <w:color w:val="555555"/>
          <w:sz w:val="23"/>
          <w:szCs w:val="23"/>
          <w:lang w:eastAsia="es-ES"/>
        </w:rPr>
      </w:pPr>
    </w:p>
    <w:p w14:paraId="2645C32C" w14:textId="77777777" w:rsidR="00AC6D8E" w:rsidRDefault="00AC6D8E" w:rsidP="00E37A4D">
      <w:pPr>
        <w:shd w:val="clear" w:color="auto" w:fill="FFFFFF"/>
        <w:spacing w:after="150" w:line="240" w:lineRule="auto"/>
        <w:jc w:val="both"/>
        <w:rPr>
          <w:rFonts w:ascii="Arial" w:eastAsia="Times New Roman" w:hAnsi="Arial" w:cs="Arial"/>
          <w:b/>
          <w:bCs/>
          <w:i/>
          <w:iCs/>
          <w:color w:val="555555"/>
          <w:sz w:val="23"/>
          <w:szCs w:val="23"/>
          <w:lang w:eastAsia="es-ES"/>
        </w:rPr>
      </w:pPr>
    </w:p>
    <w:p w14:paraId="59C6319D" w14:textId="77777777" w:rsidR="00AC6D8E" w:rsidRDefault="00AC6D8E" w:rsidP="00E37A4D">
      <w:pPr>
        <w:shd w:val="clear" w:color="auto" w:fill="FFFFFF"/>
        <w:spacing w:after="150" w:line="240" w:lineRule="auto"/>
        <w:jc w:val="both"/>
        <w:rPr>
          <w:rFonts w:ascii="Arial" w:eastAsia="Times New Roman" w:hAnsi="Arial" w:cs="Arial"/>
          <w:b/>
          <w:bCs/>
          <w:i/>
          <w:iCs/>
          <w:color w:val="555555"/>
          <w:sz w:val="23"/>
          <w:szCs w:val="23"/>
          <w:lang w:eastAsia="es-ES"/>
        </w:rPr>
      </w:pPr>
    </w:p>
    <w:p w14:paraId="3EBEB5E5" w14:textId="77777777" w:rsidR="00AC6D8E" w:rsidRDefault="00AC6D8E" w:rsidP="00E37A4D">
      <w:pPr>
        <w:shd w:val="clear" w:color="auto" w:fill="FFFFFF"/>
        <w:spacing w:after="150" w:line="240" w:lineRule="auto"/>
        <w:jc w:val="both"/>
        <w:rPr>
          <w:rFonts w:ascii="Arial" w:eastAsia="Times New Roman" w:hAnsi="Arial" w:cs="Arial"/>
          <w:b/>
          <w:bCs/>
          <w:i/>
          <w:iCs/>
          <w:color w:val="555555"/>
          <w:sz w:val="23"/>
          <w:szCs w:val="23"/>
          <w:lang w:eastAsia="es-ES"/>
        </w:rPr>
      </w:pPr>
    </w:p>
    <w:p w14:paraId="17A78CCB" w14:textId="77777777" w:rsidR="00AC6D8E" w:rsidRDefault="00AC6D8E" w:rsidP="00E37A4D">
      <w:pPr>
        <w:shd w:val="clear" w:color="auto" w:fill="FFFFFF"/>
        <w:spacing w:after="150" w:line="240" w:lineRule="auto"/>
        <w:jc w:val="both"/>
        <w:rPr>
          <w:rFonts w:ascii="Arial" w:eastAsia="Times New Roman" w:hAnsi="Arial" w:cs="Arial"/>
          <w:b/>
          <w:bCs/>
          <w:i/>
          <w:iCs/>
          <w:color w:val="555555"/>
          <w:sz w:val="23"/>
          <w:szCs w:val="23"/>
          <w:lang w:eastAsia="es-ES"/>
        </w:rPr>
      </w:pPr>
    </w:p>
    <w:p w14:paraId="1C7006C8" w14:textId="77777777" w:rsidR="00AC6D8E" w:rsidRDefault="00AC6D8E" w:rsidP="00E37A4D">
      <w:pPr>
        <w:shd w:val="clear" w:color="auto" w:fill="FFFFFF"/>
        <w:spacing w:after="150" w:line="240" w:lineRule="auto"/>
        <w:jc w:val="both"/>
        <w:rPr>
          <w:rFonts w:ascii="Arial" w:eastAsia="Times New Roman" w:hAnsi="Arial" w:cs="Arial"/>
          <w:b/>
          <w:bCs/>
          <w:i/>
          <w:iCs/>
          <w:color w:val="555555"/>
          <w:sz w:val="23"/>
          <w:szCs w:val="23"/>
          <w:lang w:eastAsia="es-ES"/>
        </w:rPr>
      </w:pPr>
    </w:p>
    <w:p w14:paraId="04EA8A12" w14:textId="11D1106E"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lastRenderedPageBreak/>
        <w:t>11.2 Cuantías mínimas de las pensiones de Clases Pasivas para el año 2021</w:t>
      </w:r>
    </w:p>
    <w:tbl>
      <w:tblPr>
        <w:tblW w:w="0" w:type="auto"/>
        <w:tblCellMar>
          <w:top w:w="15" w:type="dxa"/>
          <w:left w:w="15" w:type="dxa"/>
          <w:bottom w:w="15" w:type="dxa"/>
          <w:right w:w="15" w:type="dxa"/>
        </w:tblCellMar>
        <w:tblLook w:val="04A0" w:firstRow="1" w:lastRow="0" w:firstColumn="1" w:lastColumn="0" w:noHBand="0" w:noVBand="1"/>
      </w:tblPr>
      <w:tblGrid>
        <w:gridCol w:w="3520"/>
        <w:gridCol w:w="1413"/>
        <w:gridCol w:w="2059"/>
        <w:gridCol w:w="1482"/>
      </w:tblGrid>
      <w:tr w:rsidR="00A5572E" w:rsidRPr="00A5572E" w14:paraId="6DB0F267" w14:textId="77777777" w:rsidTr="00A5572E">
        <w:trPr>
          <w:tblHeader/>
        </w:trPr>
        <w:tc>
          <w:tcPr>
            <w:tcW w:w="0" w:type="auto"/>
            <w:vMerge w:val="restart"/>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34BF8A7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Clase de pensión</w:t>
            </w:r>
          </w:p>
        </w:tc>
        <w:tc>
          <w:tcPr>
            <w:tcW w:w="0" w:type="auto"/>
            <w:gridSpan w:val="3"/>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3330AED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Importe</w:t>
            </w:r>
          </w:p>
        </w:tc>
      </w:tr>
      <w:tr w:rsidR="00A5572E" w:rsidRPr="00A5572E" w14:paraId="45F50054" w14:textId="77777777" w:rsidTr="00A5572E">
        <w:trPr>
          <w:tblHeader/>
        </w:trPr>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38505A5F"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7DA7B93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Con cónyuge a cargo</w:t>
            </w:r>
          </w:p>
          <w:p w14:paraId="2679507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w:t>
            </w:r>
          </w:p>
          <w:p w14:paraId="1711BFA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Euros/año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EF12C67"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Sin cónyuge: unidad económica unipersonal</w:t>
            </w:r>
          </w:p>
          <w:p w14:paraId="254125A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w:t>
            </w:r>
          </w:p>
          <w:p w14:paraId="4F4DBD3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Euros/año</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46119D5"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Con cónyuge no a cargo</w:t>
            </w:r>
          </w:p>
          <w:p w14:paraId="4C28F05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w:t>
            </w:r>
          </w:p>
          <w:p w14:paraId="5998620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b/>
                <w:bCs/>
                <w:sz w:val="24"/>
                <w:szCs w:val="24"/>
                <w:lang w:eastAsia="es-ES"/>
              </w:rPr>
              <w:t>Euros/año</w:t>
            </w:r>
          </w:p>
        </w:tc>
      </w:tr>
      <w:tr w:rsidR="00A5572E" w:rsidRPr="00A5572E" w14:paraId="3DDB20A0"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631A7E4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Pensión de jubilación o retiro.</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0A6BCCA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11.914,00</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6497E2FC"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9.655,80</w:t>
            </w:r>
          </w:p>
        </w:tc>
        <w:tc>
          <w:tcPr>
            <w:tcW w:w="0" w:type="auto"/>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31EBCB1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9.164,40</w:t>
            </w:r>
          </w:p>
        </w:tc>
      </w:tr>
      <w:tr w:rsidR="00A5572E" w:rsidRPr="00A5572E" w14:paraId="6DAB1D91"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1A7F69DA"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Pensión de viudedad.</w:t>
            </w:r>
          </w:p>
        </w:tc>
        <w:tc>
          <w:tcPr>
            <w:tcW w:w="0" w:type="auto"/>
            <w:gridSpan w:val="3"/>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50C8DD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9.655,80</w:t>
            </w:r>
          </w:p>
        </w:tc>
      </w:tr>
      <w:tr w:rsidR="00A5572E" w:rsidRPr="00A5572E" w14:paraId="597B4C2C" w14:textId="77777777" w:rsidTr="00A5572E">
        <w:tc>
          <w:tcPr>
            <w:tcW w:w="0" w:type="auto"/>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89A2C0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Pensión familiar distinta de la de viudedad, siendo N el número de beneficiarios de la pensión o pensiones.</w:t>
            </w:r>
          </w:p>
        </w:tc>
        <w:tc>
          <w:tcPr>
            <w:tcW w:w="0" w:type="auto"/>
            <w:gridSpan w:val="3"/>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D98C99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9.412,20/N</w:t>
            </w:r>
          </w:p>
        </w:tc>
      </w:tr>
    </w:tbl>
    <w:p w14:paraId="6A262067"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11.3 Cuantías de otras pensiones y prestaciones públicas</w:t>
      </w:r>
    </w:p>
    <w:p w14:paraId="53B60940"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i/>
          <w:iCs/>
          <w:color w:val="555555"/>
          <w:sz w:val="23"/>
          <w:szCs w:val="23"/>
          <w:lang w:eastAsia="es-ES"/>
        </w:rPr>
        <w:t>Límite máximo de percepción de pensión pública:</w:t>
      </w:r>
      <w:r w:rsidRPr="00A5572E">
        <w:rPr>
          <w:rFonts w:ascii="Arial" w:eastAsia="Times New Roman" w:hAnsi="Arial" w:cs="Arial"/>
          <w:b/>
          <w:bCs/>
          <w:i/>
          <w:iCs/>
          <w:color w:val="555555"/>
          <w:sz w:val="23"/>
          <w:szCs w:val="23"/>
          <w:lang w:eastAsia="es-ES"/>
        </w:rPr>
        <w:t> 2.707 euros/mes</w:t>
      </w:r>
      <w:r w:rsidRPr="00A5572E">
        <w:rPr>
          <w:rFonts w:ascii="Arial" w:eastAsia="Times New Roman" w:hAnsi="Arial" w:cs="Arial"/>
          <w:i/>
          <w:iCs/>
          <w:color w:val="555555"/>
          <w:sz w:val="23"/>
          <w:szCs w:val="23"/>
          <w:lang w:eastAsia="es-ES"/>
        </w:rPr>
        <w:t> o </w:t>
      </w:r>
      <w:r w:rsidRPr="00A5572E">
        <w:rPr>
          <w:rFonts w:ascii="Arial" w:eastAsia="Times New Roman" w:hAnsi="Arial" w:cs="Arial"/>
          <w:b/>
          <w:bCs/>
          <w:i/>
          <w:iCs/>
          <w:color w:val="555555"/>
          <w:sz w:val="23"/>
          <w:szCs w:val="23"/>
          <w:lang w:eastAsia="es-ES"/>
        </w:rPr>
        <w:t>37.904,86 euros/año.</w:t>
      </w:r>
    </w:p>
    <w:p w14:paraId="098DC36E"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Pensiones de la Seguridad Social en su modalidad no contributiva: </w:t>
      </w:r>
      <w:r w:rsidRPr="00A5572E">
        <w:rPr>
          <w:rFonts w:ascii="Arial" w:eastAsia="Times New Roman" w:hAnsi="Arial" w:cs="Arial"/>
          <w:b/>
          <w:bCs/>
          <w:color w:val="555555"/>
          <w:sz w:val="23"/>
          <w:szCs w:val="23"/>
          <w:lang w:eastAsia="es-ES"/>
        </w:rPr>
        <w:t>5.639,20 euros/año.</w:t>
      </w:r>
    </w:p>
    <w:p w14:paraId="1E8F0B02"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 Complemento de pensión para el alquiler de vivienda: </w:t>
      </w:r>
      <w:r w:rsidRPr="00A5572E">
        <w:rPr>
          <w:rFonts w:ascii="Arial" w:eastAsia="Times New Roman" w:hAnsi="Arial" w:cs="Arial"/>
          <w:b/>
          <w:bCs/>
          <w:color w:val="555555"/>
          <w:sz w:val="23"/>
          <w:szCs w:val="23"/>
          <w:lang w:eastAsia="es-ES"/>
        </w:rPr>
        <w:t>525 euros/año.</w:t>
      </w:r>
    </w:p>
    <w:p w14:paraId="70A62078"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12. Complementos por mínimos (Arts. </w:t>
      </w:r>
      <w:hyperlink r:id="rId22" w:anchor="ancla_9633910" w:tgtFrame="_blank" w:history="1">
        <w:r w:rsidRPr="00A5572E">
          <w:rPr>
            <w:rFonts w:ascii="Arial" w:eastAsia="Times New Roman" w:hAnsi="Arial" w:cs="Arial"/>
            <w:b/>
            <w:bCs/>
            <w:color w:val="2F83E0"/>
            <w:sz w:val="23"/>
            <w:szCs w:val="23"/>
            <w:lang w:eastAsia="es-ES"/>
          </w:rPr>
          <w:t>42-43</w:t>
        </w:r>
      </w:hyperlink>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30388625"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Las pensiones contributivas cuya cuantía resulte inferior a la pensión mínima establecida por ley puede ser complementadas, siempre que se acrediten ciertos requisitos, hasta dicho importe mínimo. En 2021, el límite de ingresos para el reconocimiento de complementos económicos por mínimos:</w:t>
      </w:r>
    </w:p>
    <w:p w14:paraId="037EF84F" w14:textId="35E74C99" w:rsidR="00A5572E" w:rsidRPr="00A5572E" w:rsidRDefault="00A5572E" w:rsidP="00E37A4D">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xml:space="preserve">Sin cónyuge a cargo: </w:t>
      </w:r>
      <w:r w:rsidR="00AC6D8E">
        <w:rPr>
          <w:rFonts w:ascii="Arial" w:eastAsia="Times New Roman" w:hAnsi="Arial" w:cs="Arial"/>
          <w:color w:val="555555"/>
          <w:sz w:val="23"/>
          <w:szCs w:val="23"/>
          <w:lang w:eastAsia="es-ES"/>
        </w:rPr>
        <w:t xml:space="preserve">     </w:t>
      </w:r>
      <w:r w:rsidRPr="00A5572E">
        <w:rPr>
          <w:rFonts w:ascii="Arial" w:eastAsia="Times New Roman" w:hAnsi="Arial" w:cs="Arial"/>
          <w:color w:val="555555"/>
          <w:sz w:val="23"/>
          <w:szCs w:val="23"/>
          <w:lang w:eastAsia="es-ES"/>
        </w:rPr>
        <w:t>7.707 euros/año.</w:t>
      </w:r>
    </w:p>
    <w:p w14:paraId="3908B163" w14:textId="42116842" w:rsidR="00A5572E" w:rsidRPr="00A5572E" w:rsidRDefault="00A5572E" w:rsidP="00E37A4D">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xml:space="preserve">Con cónyuge a cargo: </w:t>
      </w:r>
      <w:r w:rsidR="00AC6D8E">
        <w:rPr>
          <w:rFonts w:ascii="Arial" w:eastAsia="Times New Roman" w:hAnsi="Arial" w:cs="Arial"/>
          <w:color w:val="555555"/>
          <w:sz w:val="23"/>
          <w:szCs w:val="23"/>
          <w:lang w:eastAsia="es-ES"/>
        </w:rPr>
        <w:t xml:space="preserve">   </w:t>
      </w:r>
      <w:r w:rsidRPr="00A5572E">
        <w:rPr>
          <w:rFonts w:ascii="Arial" w:eastAsia="Times New Roman" w:hAnsi="Arial" w:cs="Arial"/>
          <w:color w:val="555555"/>
          <w:sz w:val="23"/>
          <w:szCs w:val="23"/>
          <w:lang w:eastAsia="es-ES"/>
        </w:rPr>
        <w:t>8.990 euros/año.</w:t>
      </w:r>
    </w:p>
    <w:p w14:paraId="1D89EFC5" w14:textId="68BD840C" w:rsidR="00A5572E" w:rsidRPr="00A5572E" w:rsidRDefault="00A5572E" w:rsidP="00E37A4D">
      <w:pPr>
        <w:numPr>
          <w:ilvl w:val="0"/>
          <w:numId w:val="9"/>
        </w:numPr>
        <w:shd w:val="clear" w:color="auto" w:fill="FFFFFF"/>
        <w:spacing w:before="100" w:beforeAutospacing="1" w:after="100" w:afterAutospacing="1" w:line="240" w:lineRule="auto"/>
        <w:ind w:left="495"/>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 xml:space="preserve">Clases Pasivas: </w:t>
      </w:r>
      <w:r w:rsidR="00AC6D8E">
        <w:rPr>
          <w:rFonts w:ascii="Arial" w:eastAsia="Times New Roman" w:hAnsi="Arial" w:cs="Arial"/>
          <w:color w:val="555555"/>
          <w:sz w:val="23"/>
          <w:szCs w:val="23"/>
          <w:lang w:eastAsia="es-ES"/>
        </w:rPr>
        <w:t xml:space="preserve">             </w:t>
      </w:r>
      <w:r w:rsidRPr="00A5572E">
        <w:rPr>
          <w:rFonts w:ascii="Arial" w:eastAsia="Times New Roman" w:hAnsi="Arial" w:cs="Arial"/>
          <w:color w:val="555555"/>
          <w:sz w:val="23"/>
          <w:szCs w:val="23"/>
          <w:lang w:eastAsia="es-ES"/>
        </w:rPr>
        <w:t>7.707 euros/año.</w:t>
      </w:r>
    </w:p>
    <w:p w14:paraId="20CD78AF"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3A0FB81C"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729D6898"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0F7E3128"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1D84BEDF"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4499CCA6"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2DD71A14"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7CDBD3F1"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06197897"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5396FAB7"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139F17EB" w14:textId="77777777" w:rsidR="00AC6D8E" w:rsidRDefault="00AC6D8E" w:rsidP="00E37A4D">
      <w:pPr>
        <w:shd w:val="clear" w:color="auto" w:fill="FFFFFF"/>
        <w:spacing w:after="150" w:line="240" w:lineRule="auto"/>
        <w:jc w:val="both"/>
        <w:rPr>
          <w:rFonts w:ascii="Arial" w:eastAsia="Times New Roman" w:hAnsi="Arial" w:cs="Arial"/>
          <w:b/>
          <w:bCs/>
          <w:color w:val="555555"/>
          <w:sz w:val="23"/>
          <w:szCs w:val="23"/>
          <w:lang w:eastAsia="es-ES"/>
        </w:rPr>
      </w:pPr>
    </w:p>
    <w:p w14:paraId="4FC01303" w14:textId="621D284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lastRenderedPageBreak/>
        <w:t>13. Otras medidas en el ámbito laboral para 2021:</w:t>
      </w:r>
    </w:p>
    <w:p w14:paraId="16A627A5"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13.1 Regulación del salario mínimo interprofesional para 2021 (</w:t>
      </w:r>
      <w:proofErr w:type="spellStart"/>
      <w:r w:rsidRPr="00A5572E">
        <w:rPr>
          <w:rFonts w:ascii="Arial" w:eastAsia="Times New Roman" w:hAnsi="Arial" w:cs="Arial"/>
          <w:b/>
          <w:bCs/>
          <w:i/>
          <w:iCs/>
          <w:color w:val="555555"/>
          <w:sz w:val="23"/>
          <w:szCs w:val="23"/>
          <w:lang w:eastAsia="es-ES"/>
        </w:rPr>
        <w:t>D.A</w:t>
      </w:r>
      <w:proofErr w:type="spellEnd"/>
      <w:r w:rsidRPr="00A5572E">
        <w:rPr>
          <w:rFonts w:ascii="Arial" w:eastAsia="Times New Roman" w:hAnsi="Arial" w:cs="Arial"/>
          <w:b/>
          <w:bCs/>
          <w:i/>
          <w:iCs/>
          <w:color w:val="555555"/>
          <w:sz w:val="23"/>
          <w:szCs w:val="23"/>
          <w:lang w:eastAsia="es-ES"/>
        </w:rPr>
        <w:t xml:space="preserve"> 6ª del </w:t>
      </w:r>
      <w:hyperlink r:id="rId23" w:tgtFrame="_blank" w:history="1">
        <w:r w:rsidRPr="00A5572E">
          <w:rPr>
            <w:rFonts w:ascii="Arial" w:eastAsia="Times New Roman" w:hAnsi="Arial" w:cs="Arial"/>
            <w:b/>
            <w:bCs/>
            <w:i/>
            <w:iCs/>
            <w:color w:val="2F83E0"/>
            <w:sz w:val="23"/>
            <w:szCs w:val="23"/>
            <w:lang w:eastAsia="es-ES"/>
          </w:rPr>
          <w:t>Real Decreto-ley 38/2020, de 29 de diciembre</w:t>
        </w:r>
      </w:hyperlink>
      <w:r w:rsidRPr="00A5572E">
        <w:rPr>
          <w:rFonts w:ascii="Arial" w:eastAsia="Times New Roman" w:hAnsi="Arial" w:cs="Arial"/>
          <w:b/>
          <w:bCs/>
          <w:i/>
          <w:iCs/>
          <w:color w:val="555555"/>
          <w:sz w:val="23"/>
          <w:szCs w:val="23"/>
          <w:lang w:eastAsia="es-ES"/>
        </w:rPr>
        <w:t>).</w:t>
      </w:r>
    </w:p>
    <w:p w14:paraId="7F4B9857"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Hasta tanto se apruebe el real decreto por el que se fija el salario mínimo interprofesional para el año 2021 en el marco del diálogo social se prorroga la vigencia del </w:t>
      </w:r>
      <w:hyperlink r:id="rId24" w:tgtFrame="_blank" w:history="1">
        <w:r w:rsidRPr="00A5572E">
          <w:rPr>
            <w:rFonts w:ascii="Arial" w:eastAsia="Times New Roman" w:hAnsi="Arial" w:cs="Arial"/>
            <w:color w:val="2F83E0"/>
            <w:sz w:val="23"/>
            <w:szCs w:val="23"/>
            <w:lang w:eastAsia="es-ES"/>
          </w:rPr>
          <w:t>Real Decreto 231/2020, de 4 de febrero</w:t>
        </w:r>
      </w:hyperlink>
      <w:r w:rsidRPr="00A5572E">
        <w:rPr>
          <w:rFonts w:ascii="Arial" w:eastAsia="Times New Roman" w:hAnsi="Arial" w:cs="Arial"/>
          <w:color w:val="555555"/>
          <w:sz w:val="23"/>
          <w:szCs w:val="23"/>
          <w:lang w:eastAsia="es-ES"/>
        </w:rPr>
        <w:t>, por el que se fija el salario mínimo interprofesional para 2020.</w:t>
      </w:r>
    </w:p>
    <w:tbl>
      <w:tblPr>
        <w:tblW w:w="0" w:type="auto"/>
        <w:tblCellMar>
          <w:top w:w="15" w:type="dxa"/>
          <w:left w:w="15" w:type="dxa"/>
          <w:bottom w:w="15" w:type="dxa"/>
          <w:right w:w="15" w:type="dxa"/>
        </w:tblCellMar>
        <w:tblLook w:val="04A0" w:firstRow="1" w:lastRow="0" w:firstColumn="1" w:lastColumn="0" w:noHBand="0" w:noVBand="1"/>
      </w:tblPr>
      <w:tblGrid>
        <w:gridCol w:w="2101"/>
        <w:gridCol w:w="2093"/>
        <w:gridCol w:w="2093"/>
        <w:gridCol w:w="2187"/>
      </w:tblGrid>
      <w:tr w:rsidR="00A5572E" w:rsidRPr="00A5572E" w14:paraId="38E6B15D" w14:textId="77777777" w:rsidTr="00A5572E">
        <w:tc>
          <w:tcPr>
            <w:tcW w:w="213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vAlign w:val="center"/>
            <w:hideMark/>
          </w:tcPr>
          <w:p w14:paraId="122032A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SALARIO MÍNIMO</w:t>
            </w:r>
          </w:p>
        </w:tc>
        <w:tc>
          <w:tcPr>
            <w:tcW w:w="2130"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7844CE1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2020</w:t>
            </w:r>
          </w:p>
        </w:tc>
        <w:tc>
          <w:tcPr>
            <w:tcW w:w="2130" w:type="dxa"/>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02A25D5D"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2021</w:t>
            </w:r>
          </w:p>
        </w:tc>
        <w:tc>
          <w:tcPr>
            <w:tcW w:w="2130" w:type="dxa"/>
            <w:vMerge w:val="restart"/>
            <w:tcBorders>
              <w:top w:val="single" w:sz="12" w:space="0" w:color="D2D2D2"/>
              <w:left w:val="single" w:sz="12" w:space="0" w:color="D2D2D2"/>
              <w:bottom w:val="single" w:sz="12" w:space="0" w:color="D2D2D2"/>
              <w:right w:val="single" w:sz="12" w:space="0" w:color="D2D2D2"/>
            </w:tcBorders>
            <w:shd w:val="clear" w:color="auto" w:fill="auto"/>
            <w:tcMar>
              <w:top w:w="0" w:type="dxa"/>
              <w:left w:w="0" w:type="dxa"/>
              <w:bottom w:w="0" w:type="dxa"/>
              <w:right w:w="0" w:type="dxa"/>
            </w:tcMar>
            <w:vAlign w:val="center"/>
            <w:hideMark/>
          </w:tcPr>
          <w:p w14:paraId="29E45D9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PENDIENTE DE CAMBIOS EN CASO DE ACTUALIZACIÓN DEL SMI PARA 2021</w:t>
            </w:r>
          </w:p>
        </w:tc>
      </w:tr>
      <w:tr w:rsidR="00A5572E" w:rsidRPr="00A5572E" w14:paraId="34EBF28A" w14:textId="77777777" w:rsidTr="00A5572E">
        <w:tc>
          <w:tcPr>
            <w:tcW w:w="213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52F08EB"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SMI día</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875C176"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31,66 euros</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88BBE82"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31,66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041857C6"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1075B61D" w14:textId="77777777" w:rsidTr="00A5572E">
        <w:tc>
          <w:tcPr>
            <w:tcW w:w="213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AC4670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SMI mes (14 pagas)</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3BB18203"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950 euros</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23D57A58"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950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4FC33FDC"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01CE35ED" w14:textId="77777777" w:rsidTr="00A5572E">
        <w:tc>
          <w:tcPr>
            <w:tcW w:w="213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0ED82C3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SMI mes (12 pagas)</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1623E304"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1.108,33 euros</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79C8BF0E"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1.108,33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25567B8A"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r>
      <w:tr w:rsidR="00A5572E" w:rsidRPr="00A5572E" w14:paraId="58BB0944" w14:textId="77777777" w:rsidTr="00A5572E">
        <w:tc>
          <w:tcPr>
            <w:tcW w:w="2130" w:type="dxa"/>
            <w:tcBorders>
              <w:top w:val="single" w:sz="12" w:space="0" w:color="D2D2D2"/>
              <w:left w:val="single" w:sz="12" w:space="0" w:color="D2D2D2"/>
              <w:bottom w:val="single" w:sz="12" w:space="0" w:color="D2D2D2"/>
              <w:right w:val="single" w:sz="12" w:space="0" w:color="D2D2D2"/>
            </w:tcBorders>
            <w:shd w:val="clear" w:color="auto" w:fill="EBEBEA"/>
            <w:tcMar>
              <w:top w:w="0" w:type="dxa"/>
              <w:left w:w="0" w:type="dxa"/>
              <w:bottom w:w="0" w:type="dxa"/>
              <w:right w:w="0" w:type="dxa"/>
            </w:tcMar>
            <w:hideMark/>
          </w:tcPr>
          <w:p w14:paraId="5EF781F0"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b/>
                <w:bCs/>
                <w:sz w:val="24"/>
                <w:szCs w:val="24"/>
                <w:lang w:eastAsia="es-ES"/>
              </w:rPr>
            </w:pPr>
            <w:r w:rsidRPr="00A5572E">
              <w:rPr>
                <w:rFonts w:ascii="Times New Roman" w:eastAsia="Times New Roman" w:hAnsi="Times New Roman" w:cs="Times New Roman"/>
                <w:b/>
                <w:bCs/>
                <w:sz w:val="24"/>
                <w:szCs w:val="24"/>
                <w:lang w:eastAsia="es-ES"/>
              </w:rPr>
              <w:t>SMI año</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5840C0E9"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13.300 euros</w:t>
            </w:r>
          </w:p>
        </w:tc>
        <w:tc>
          <w:tcPr>
            <w:tcW w:w="2130" w:type="dxa"/>
            <w:tcBorders>
              <w:top w:val="single" w:sz="12" w:space="0" w:color="D2D2D2"/>
              <w:left w:val="single" w:sz="12" w:space="0" w:color="D2D2D2"/>
              <w:bottom w:val="single" w:sz="12" w:space="0" w:color="D2D2D2"/>
              <w:right w:val="single" w:sz="12" w:space="0" w:color="D2D2D2"/>
            </w:tcBorders>
            <w:shd w:val="clear" w:color="auto" w:fill="FFFFFF"/>
            <w:tcMar>
              <w:top w:w="0" w:type="dxa"/>
              <w:left w:w="0" w:type="dxa"/>
              <w:bottom w:w="0" w:type="dxa"/>
              <w:right w:w="0" w:type="dxa"/>
            </w:tcMar>
            <w:hideMark/>
          </w:tcPr>
          <w:p w14:paraId="47358AA1" w14:textId="77777777" w:rsidR="00A5572E" w:rsidRPr="00A5572E" w:rsidRDefault="00A5572E" w:rsidP="00AC6D8E">
            <w:pPr>
              <w:spacing w:before="45" w:after="45" w:line="240" w:lineRule="auto"/>
              <w:ind w:left="45" w:right="45"/>
              <w:jc w:val="center"/>
              <w:rPr>
                <w:rFonts w:ascii="Times New Roman" w:eastAsia="Times New Roman" w:hAnsi="Times New Roman" w:cs="Times New Roman"/>
                <w:sz w:val="24"/>
                <w:szCs w:val="24"/>
                <w:lang w:eastAsia="es-ES"/>
              </w:rPr>
            </w:pPr>
            <w:r w:rsidRPr="00A5572E">
              <w:rPr>
                <w:rFonts w:ascii="Times New Roman" w:eastAsia="Times New Roman" w:hAnsi="Times New Roman" w:cs="Times New Roman"/>
                <w:sz w:val="24"/>
                <w:szCs w:val="24"/>
                <w:lang w:eastAsia="es-ES"/>
              </w:rPr>
              <w:t>13.300 euros</w:t>
            </w:r>
          </w:p>
        </w:tc>
        <w:tc>
          <w:tcPr>
            <w:tcW w:w="0" w:type="auto"/>
            <w:vMerge/>
            <w:tcBorders>
              <w:top w:val="single" w:sz="12" w:space="0" w:color="D2D2D2"/>
              <w:left w:val="single" w:sz="12" w:space="0" w:color="D2D2D2"/>
              <w:bottom w:val="single" w:sz="12" w:space="0" w:color="D2D2D2"/>
              <w:right w:val="single" w:sz="12" w:space="0" w:color="D2D2D2"/>
            </w:tcBorders>
            <w:shd w:val="clear" w:color="auto" w:fill="auto"/>
            <w:vAlign w:val="center"/>
            <w:hideMark/>
          </w:tcPr>
          <w:p w14:paraId="6C14101D" w14:textId="77777777" w:rsidR="00A5572E" w:rsidRPr="00A5572E" w:rsidRDefault="00A5572E" w:rsidP="00AC6D8E">
            <w:pPr>
              <w:spacing w:beforeAutospacing="1" w:after="0" w:afterAutospacing="1" w:line="240" w:lineRule="auto"/>
              <w:jc w:val="center"/>
              <w:rPr>
                <w:rFonts w:ascii="Times New Roman" w:eastAsia="Times New Roman" w:hAnsi="Times New Roman" w:cs="Times New Roman"/>
                <w:b/>
                <w:bCs/>
                <w:sz w:val="24"/>
                <w:szCs w:val="24"/>
                <w:lang w:eastAsia="es-ES"/>
              </w:rPr>
            </w:pPr>
          </w:p>
        </w:tc>
      </w:tr>
    </w:tbl>
    <w:p w14:paraId="1DD38065" w14:textId="77777777" w:rsidR="00AC6D8E" w:rsidRDefault="00AC6D8E" w:rsidP="00AC6D8E">
      <w:pPr>
        <w:shd w:val="clear" w:color="auto" w:fill="FFFFFF"/>
        <w:spacing w:after="150" w:line="240" w:lineRule="auto"/>
        <w:jc w:val="center"/>
        <w:rPr>
          <w:rFonts w:ascii="Arial" w:eastAsia="Times New Roman" w:hAnsi="Arial" w:cs="Arial"/>
          <w:b/>
          <w:bCs/>
          <w:i/>
          <w:iCs/>
          <w:color w:val="555555"/>
          <w:sz w:val="23"/>
          <w:szCs w:val="23"/>
          <w:lang w:eastAsia="es-ES"/>
        </w:rPr>
      </w:pPr>
    </w:p>
    <w:p w14:paraId="1A5F62BA" w14:textId="596549F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13.2 Nuevo aplazamiento de la entrada en vigor de la posibilidad de ejercer a tiempo parcial la actividad autónoma (</w:t>
      </w:r>
      <w:proofErr w:type="spellStart"/>
      <w:r w:rsidRPr="00A5572E">
        <w:rPr>
          <w:rFonts w:ascii="Arial" w:eastAsia="Times New Roman" w:hAnsi="Arial" w:cs="Arial"/>
          <w:b/>
          <w:bCs/>
          <w:i/>
          <w:iCs/>
          <w:color w:val="555555"/>
          <w:sz w:val="23"/>
          <w:szCs w:val="23"/>
          <w:lang w:eastAsia="es-ES"/>
        </w:rPr>
        <w:t>D.A</w:t>
      </w:r>
      <w:proofErr w:type="spellEnd"/>
      <w:r w:rsidRPr="00A5572E">
        <w:rPr>
          <w:rFonts w:ascii="Arial" w:eastAsia="Times New Roman" w:hAnsi="Arial" w:cs="Arial"/>
          <w:b/>
          <w:bCs/>
          <w:i/>
          <w:iCs/>
          <w:color w:val="555555"/>
          <w:sz w:val="23"/>
          <w:szCs w:val="23"/>
          <w:lang w:eastAsia="es-ES"/>
        </w:rPr>
        <w:t>. 126ª </w:t>
      </w:r>
      <w:proofErr w:type="spellStart"/>
      <w:r w:rsidRPr="00A5572E">
        <w:rPr>
          <w:rFonts w:ascii="Arial" w:eastAsia="Times New Roman" w:hAnsi="Arial" w:cs="Arial"/>
          <w:b/>
          <w:bCs/>
          <w:i/>
          <w:iCs/>
          <w:color w:val="555555"/>
          <w:sz w:val="23"/>
          <w:szCs w:val="23"/>
          <w:lang w:eastAsia="es-ES"/>
        </w:rPr>
        <w:fldChar w:fldCharType="begin"/>
      </w:r>
      <w:r w:rsidRPr="00A5572E">
        <w:rPr>
          <w:rFonts w:ascii="Arial" w:eastAsia="Times New Roman" w:hAnsi="Arial" w:cs="Arial"/>
          <w:b/>
          <w:bCs/>
          <w:i/>
          <w:i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i/>
          <w:iCs/>
          <w:color w:val="555555"/>
          <w:sz w:val="23"/>
          <w:szCs w:val="23"/>
          <w:lang w:eastAsia="es-ES"/>
        </w:rPr>
        <w:fldChar w:fldCharType="separate"/>
      </w:r>
      <w:r w:rsidRPr="00A5572E">
        <w:rPr>
          <w:rFonts w:ascii="Arial" w:eastAsia="Times New Roman" w:hAnsi="Arial" w:cs="Arial"/>
          <w:b/>
          <w:bCs/>
          <w:i/>
          <w:iCs/>
          <w:color w:val="2F83E0"/>
          <w:sz w:val="23"/>
          <w:szCs w:val="23"/>
          <w:lang w:eastAsia="es-ES"/>
        </w:rPr>
        <w:t>LPGE</w:t>
      </w:r>
      <w:proofErr w:type="spellEnd"/>
      <w:r w:rsidRPr="00A5572E">
        <w:rPr>
          <w:rFonts w:ascii="Arial" w:eastAsia="Times New Roman" w:hAnsi="Arial" w:cs="Arial"/>
          <w:b/>
          <w:bCs/>
          <w:i/>
          <w:iCs/>
          <w:color w:val="2F83E0"/>
          <w:sz w:val="23"/>
          <w:szCs w:val="23"/>
          <w:lang w:eastAsia="es-ES"/>
        </w:rPr>
        <w:t xml:space="preserve"> 2021</w:t>
      </w:r>
      <w:r w:rsidRPr="00A5572E">
        <w:rPr>
          <w:rFonts w:ascii="Arial" w:eastAsia="Times New Roman" w:hAnsi="Arial" w:cs="Arial"/>
          <w:b/>
          <w:bCs/>
          <w:i/>
          <w:iCs/>
          <w:color w:val="555555"/>
          <w:sz w:val="23"/>
          <w:szCs w:val="23"/>
          <w:lang w:eastAsia="es-ES"/>
        </w:rPr>
        <w:fldChar w:fldCharType="end"/>
      </w:r>
      <w:r w:rsidRPr="00A5572E">
        <w:rPr>
          <w:rFonts w:ascii="Arial" w:eastAsia="Times New Roman" w:hAnsi="Arial" w:cs="Arial"/>
          <w:b/>
          <w:bCs/>
          <w:i/>
          <w:iCs/>
          <w:color w:val="555555"/>
          <w:sz w:val="23"/>
          <w:szCs w:val="23"/>
          <w:lang w:eastAsia="es-ES"/>
        </w:rPr>
        <w:t>)</w:t>
      </w:r>
    </w:p>
    <w:p w14:paraId="585B380F"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establece una nueva suspensión de la posibilidad de ejercer a tiempo parcial la actividad autónoma.</w:t>
      </w:r>
    </w:p>
    <w:p w14:paraId="3E828405"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13.3 Cotización en el Sistema Especial para manipulado y empaquetado del tomate fresco con destino a la exportación, dentro del Régimen General de la Seguridad Social (DF 41ª </w:t>
      </w:r>
      <w:proofErr w:type="spellStart"/>
      <w:r w:rsidRPr="00A5572E">
        <w:rPr>
          <w:rFonts w:ascii="Arial" w:eastAsia="Times New Roman" w:hAnsi="Arial" w:cs="Arial"/>
          <w:b/>
          <w:bCs/>
          <w:i/>
          <w:iCs/>
          <w:color w:val="555555"/>
          <w:sz w:val="23"/>
          <w:szCs w:val="23"/>
          <w:lang w:eastAsia="es-ES"/>
        </w:rPr>
        <w:fldChar w:fldCharType="begin"/>
      </w:r>
      <w:r w:rsidRPr="00A5572E">
        <w:rPr>
          <w:rFonts w:ascii="Arial" w:eastAsia="Times New Roman" w:hAnsi="Arial" w:cs="Arial"/>
          <w:b/>
          <w:bCs/>
          <w:i/>
          <w:i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i/>
          <w:iCs/>
          <w:color w:val="555555"/>
          <w:sz w:val="23"/>
          <w:szCs w:val="23"/>
          <w:lang w:eastAsia="es-ES"/>
        </w:rPr>
        <w:fldChar w:fldCharType="separate"/>
      </w:r>
      <w:r w:rsidRPr="00A5572E">
        <w:rPr>
          <w:rFonts w:ascii="Arial" w:eastAsia="Times New Roman" w:hAnsi="Arial" w:cs="Arial"/>
          <w:b/>
          <w:bCs/>
          <w:i/>
          <w:iCs/>
          <w:color w:val="2F83E0"/>
          <w:sz w:val="23"/>
          <w:szCs w:val="23"/>
          <w:lang w:eastAsia="es-ES"/>
        </w:rPr>
        <w:t>LPGE</w:t>
      </w:r>
      <w:proofErr w:type="spellEnd"/>
      <w:r w:rsidRPr="00A5572E">
        <w:rPr>
          <w:rFonts w:ascii="Arial" w:eastAsia="Times New Roman" w:hAnsi="Arial" w:cs="Arial"/>
          <w:b/>
          <w:bCs/>
          <w:i/>
          <w:iCs/>
          <w:color w:val="2F83E0"/>
          <w:sz w:val="23"/>
          <w:szCs w:val="23"/>
          <w:lang w:eastAsia="es-ES"/>
        </w:rPr>
        <w:t xml:space="preserve"> 2021</w:t>
      </w:r>
      <w:r w:rsidRPr="00A5572E">
        <w:rPr>
          <w:rFonts w:ascii="Arial" w:eastAsia="Times New Roman" w:hAnsi="Arial" w:cs="Arial"/>
          <w:b/>
          <w:bCs/>
          <w:i/>
          <w:iCs/>
          <w:color w:val="555555"/>
          <w:sz w:val="23"/>
          <w:szCs w:val="23"/>
          <w:lang w:eastAsia="es-ES"/>
        </w:rPr>
        <w:fldChar w:fldCharType="end"/>
      </w:r>
      <w:r w:rsidRPr="00A5572E">
        <w:rPr>
          <w:rFonts w:ascii="Arial" w:eastAsia="Times New Roman" w:hAnsi="Arial" w:cs="Arial"/>
          <w:b/>
          <w:bCs/>
          <w:i/>
          <w:iCs/>
          <w:color w:val="555555"/>
          <w:sz w:val="23"/>
          <w:szCs w:val="23"/>
          <w:lang w:eastAsia="es-ES"/>
        </w:rPr>
        <w:t>).</w:t>
      </w:r>
    </w:p>
    <w:p w14:paraId="300F953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fija durante el año 2021, que los empresarios encuadrados en el Sistema Especial para manipulado y empaquetado del tomate fresco tendrán derecho a una reducción del 70 por ciento y una bonificación del 8,75 por ciento en la cotización empresarial por contingencias comunes.</w:t>
      </w:r>
    </w:p>
    <w:p w14:paraId="60DC8AA4"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i/>
          <w:iCs/>
          <w:color w:val="555555"/>
          <w:sz w:val="23"/>
          <w:szCs w:val="23"/>
          <w:lang w:eastAsia="es-ES"/>
        </w:rPr>
        <w:t>13.4 Empleados públicos</w:t>
      </w:r>
    </w:p>
    <w:p w14:paraId="07BF94BE"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13.4.1 Nueva regulación de determinados permisos y vacaciones de los Empleados Públicos (DF 37ª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5BB9E45C"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Tras las modificaciones realizas sobre diversos artículos relacionados con permisos realizadas por el </w:t>
      </w:r>
      <w:hyperlink r:id="rId25" w:tgtFrame="_blank" w:history="1">
        <w:r w:rsidRPr="00A5572E">
          <w:rPr>
            <w:rFonts w:ascii="Arial" w:eastAsia="Times New Roman" w:hAnsi="Arial" w:cs="Arial"/>
            <w:color w:val="2F83E0"/>
            <w:sz w:val="23"/>
            <w:szCs w:val="23"/>
            <w:lang w:eastAsia="es-ES"/>
          </w:rPr>
          <w:t>Real Decreto-ley 6/2019, de 1 de marzo</w:t>
        </w:r>
      </w:hyperlink>
      <w:r w:rsidRPr="00A5572E">
        <w:rPr>
          <w:rFonts w:ascii="Arial" w:eastAsia="Times New Roman" w:hAnsi="Arial" w:cs="Arial"/>
          <w:color w:val="555555"/>
          <w:sz w:val="23"/>
          <w:szCs w:val="23"/>
          <w:lang w:eastAsia="es-ES"/>
        </w:rPr>
        <w:t>, la DF 37ª de la </w:t>
      </w:r>
      <w:proofErr w:type="spellStart"/>
      <w:r w:rsidR="00E37A4D">
        <w:fldChar w:fldCharType="begin"/>
      </w:r>
      <w:r w:rsidR="00E37A4D">
        <w:instrText xml:space="preserve"> HYPERLINK "https://www.iberley.es/legislacion/ley-11-2020-30-dic-pge-2021-26743089" \t "_blank" </w:instrText>
      </w:r>
      <w:r w:rsidR="00E37A4D">
        <w:fldChar w:fldCharType="separate"/>
      </w:r>
      <w:r w:rsidRPr="00A5572E">
        <w:rPr>
          <w:rFonts w:ascii="Arial" w:eastAsia="Times New Roman" w:hAnsi="Arial" w:cs="Arial"/>
          <w:color w:val="2F83E0"/>
          <w:sz w:val="23"/>
          <w:szCs w:val="23"/>
          <w:lang w:eastAsia="es-ES"/>
        </w:rPr>
        <w:t>LPGE</w:t>
      </w:r>
      <w:proofErr w:type="spellEnd"/>
      <w:r w:rsidRPr="00A5572E">
        <w:rPr>
          <w:rFonts w:ascii="Arial" w:eastAsia="Times New Roman" w:hAnsi="Arial" w:cs="Arial"/>
          <w:color w:val="2F83E0"/>
          <w:sz w:val="23"/>
          <w:szCs w:val="23"/>
          <w:lang w:eastAsia="es-ES"/>
        </w:rPr>
        <w:t xml:space="preserve"> 2021</w:t>
      </w:r>
      <w:r w:rsidR="00E37A4D">
        <w:rPr>
          <w:rFonts w:ascii="Arial" w:eastAsia="Times New Roman" w:hAnsi="Arial" w:cs="Arial"/>
          <w:color w:val="2F83E0"/>
          <w:sz w:val="23"/>
          <w:szCs w:val="23"/>
          <w:lang w:eastAsia="es-ES"/>
        </w:rPr>
        <w:fldChar w:fldCharType="end"/>
      </w:r>
      <w:r w:rsidRPr="00A5572E">
        <w:rPr>
          <w:rFonts w:ascii="Arial" w:eastAsia="Times New Roman" w:hAnsi="Arial" w:cs="Arial"/>
          <w:color w:val="555555"/>
          <w:sz w:val="23"/>
          <w:szCs w:val="23"/>
          <w:lang w:eastAsia="es-ES"/>
        </w:rPr>
        <w:t> ha vuelto a regular tanto los permisos de los funcionarios públicos de fallecimiento, accidente o enfermedad graves, hospitalización o intervención quirúrgica o lactancia de un hijo menor de doce meses (art. </w:t>
      </w:r>
      <w:hyperlink r:id="rId26" w:anchor="ancla_9283191" w:tgtFrame="_blank" w:history="1">
        <w:r w:rsidRPr="00A5572E">
          <w:rPr>
            <w:rFonts w:ascii="Arial" w:eastAsia="Times New Roman" w:hAnsi="Arial" w:cs="Arial"/>
            <w:color w:val="2F83E0"/>
            <w:sz w:val="23"/>
            <w:szCs w:val="23"/>
            <w:lang w:eastAsia="es-ES"/>
          </w:rPr>
          <w:t>48</w:t>
        </w:r>
      </w:hyperlink>
      <w:r w:rsidRPr="00A5572E">
        <w:rPr>
          <w:rFonts w:ascii="Arial" w:eastAsia="Times New Roman" w:hAnsi="Arial" w:cs="Arial"/>
          <w:color w:val="555555"/>
          <w:sz w:val="23"/>
          <w:szCs w:val="23"/>
          <w:lang w:eastAsia="es-ES"/>
        </w:rPr>
        <w:t> </w:t>
      </w:r>
      <w:proofErr w:type="spellStart"/>
      <w:r w:rsidRPr="00A5572E">
        <w:rPr>
          <w:rFonts w:ascii="Arial" w:eastAsia="Times New Roman" w:hAnsi="Arial" w:cs="Arial"/>
          <w:color w:val="555555"/>
          <w:sz w:val="23"/>
          <w:szCs w:val="23"/>
          <w:lang w:eastAsia="es-ES"/>
        </w:rPr>
        <w:fldChar w:fldCharType="begin"/>
      </w:r>
      <w:r w:rsidRPr="00A5572E">
        <w:rPr>
          <w:rFonts w:ascii="Arial" w:eastAsia="Times New Roman" w:hAnsi="Arial" w:cs="Arial"/>
          <w:color w:val="555555"/>
          <w:sz w:val="23"/>
          <w:szCs w:val="23"/>
          <w:lang w:eastAsia="es-ES"/>
        </w:rPr>
        <w:instrText xml:space="preserve"> HYPERLINK "https://www.iberley.es/legislacion/rdleg-5-2015-30-oct-tr-ley-estatuto-basico-empleado-publico-23990291" \t "_blank" </w:instrText>
      </w:r>
      <w:r w:rsidRPr="00A5572E">
        <w:rPr>
          <w:rFonts w:ascii="Arial" w:eastAsia="Times New Roman" w:hAnsi="Arial" w:cs="Arial"/>
          <w:color w:val="555555"/>
          <w:sz w:val="23"/>
          <w:szCs w:val="23"/>
          <w:lang w:eastAsia="es-ES"/>
        </w:rPr>
        <w:fldChar w:fldCharType="separate"/>
      </w:r>
      <w:r w:rsidRPr="00A5572E">
        <w:rPr>
          <w:rFonts w:ascii="Arial" w:eastAsia="Times New Roman" w:hAnsi="Arial" w:cs="Arial"/>
          <w:color w:val="2F83E0"/>
          <w:sz w:val="23"/>
          <w:szCs w:val="23"/>
          <w:lang w:eastAsia="es-ES"/>
        </w:rPr>
        <w:t>TREBEP</w:t>
      </w:r>
      <w:proofErr w:type="spellEnd"/>
      <w:r w:rsidRPr="00A5572E">
        <w:rPr>
          <w:rFonts w:ascii="Arial" w:eastAsia="Times New Roman" w:hAnsi="Arial" w:cs="Arial"/>
          <w:color w:val="555555"/>
          <w:sz w:val="23"/>
          <w:szCs w:val="23"/>
          <w:lang w:eastAsia="es-ES"/>
        </w:rPr>
        <w:fldChar w:fldCharType="end"/>
      </w:r>
      <w:r w:rsidRPr="00A5572E">
        <w:rPr>
          <w:rFonts w:ascii="Arial" w:eastAsia="Times New Roman" w:hAnsi="Arial" w:cs="Arial"/>
          <w:color w:val="555555"/>
          <w:sz w:val="23"/>
          <w:szCs w:val="23"/>
          <w:lang w:eastAsia="es-ES"/>
        </w:rPr>
        <w:t>), como los que afectan a la conciliación de la vida personal, familiar y laboral, por razón de violencia de género y para las víctimas de terrorismo y sus familiares directos (art. </w:t>
      </w:r>
      <w:hyperlink r:id="rId27" w:anchor="ancla_9283201" w:tgtFrame="_blank" w:history="1">
        <w:r w:rsidRPr="00A5572E">
          <w:rPr>
            <w:rFonts w:ascii="Arial" w:eastAsia="Times New Roman" w:hAnsi="Arial" w:cs="Arial"/>
            <w:color w:val="2F83E0"/>
            <w:sz w:val="23"/>
            <w:szCs w:val="23"/>
            <w:lang w:eastAsia="es-ES"/>
          </w:rPr>
          <w:t>49</w:t>
        </w:r>
      </w:hyperlink>
      <w:r w:rsidRPr="00A5572E">
        <w:rPr>
          <w:rFonts w:ascii="Arial" w:eastAsia="Times New Roman" w:hAnsi="Arial" w:cs="Arial"/>
          <w:color w:val="555555"/>
          <w:sz w:val="23"/>
          <w:szCs w:val="23"/>
          <w:lang w:eastAsia="es-ES"/>
        </w:rPr>
        <w:t> </w:t>
      </w:r>
      <w:proofErr w:type="spellStart"/>
      <w:r w:rsidRPr="00A5572E">
        <w:rPr>
          <w:rFonts w:ascii="Arial" w:eastAsia="Times New Roman" w:hAnsi="Arial" w:cs="Arial"/>
          <w:color w:val="555555"/>
          <w:sz w:val="23"/>
          <w:szCs w:val="23"/>
          <w:lang w:eastAsia="es-ES"/>
        </w:rPr>
        <w:fldChar w:fldCharType="begin"/>
      </w:r>
      <w:r w:rsidRPr="00A5572E">
        <w:rPr>
          <w:rFonts w:ascii="Arial" w:eastAsia="Times New Roman" w:hAnsi="Arial" w:cs="Arial"/>
          <w:color w:val="555555"/>
          <w:sz w:val="23"/>
          <w:szCs w:val="23"/>
          <w:lang w:eastAsia="es-ES"/>
        </w:rPr>
        <w:instrText xml:space="preserve"> HYPERLINK "https://www.iberley.es/legislacion/rdleg-5-2015-30-oct-tr-ley-estatuto-basico-empleado-publico-23990291" \t "_blank" </w:instrText>
      </w:r>
      <w:r w:rsidRPr="00A5572E">
        <w:rPr>
          <w:rFonts w:ascii="Arial" w:eastAsia="Times New Roman" w:hAnsi="Arial" w:cs="Arial"/>
          <w:color w:val="555555"/>
          <w:sz w:val="23"/>
          <w:szCs w:val="23"/>
          <w:lang w:eastAsia="es-ES"/>
        </w:rPr>
        <w:fldChar w:fldCharType="separate"/>
      </w:r>
      <w:r w:rsidRPr="00A5572E">
        <w:rPr>
          <w:rFonts w:ascii="Arial" w:eastAsia="Times New Roman" w:hAnsi="Arial" w:cs="Arial"/>
          <w:color w:val="2F83E0"/>
          <w:sz w:val="23"/>
          <w:szCs w:val="23"/>
          <w:lang w:eastAsia="es-ES"/>
        </w:rPr>
        <w:t>TREBEP</w:t>
      </w:r>
      <w:proofErr w:type="spellEnd"/>
      <w:r w:rsidRPr="00A5572E">
        <w:rPr>
          <w:rFonts w:ascii="Arial" w:eastAsia="Times New Roman" w:hAnsi="Arial" w:cs="Arial"/>
          <w:color w:val="555555"/>
          <w:sz w:val="23"/>
          <w:szCs w:val="23"/>
          <w:lang w:eastAsia="es-ES"/>
        </w:rPr>
        <w:fldChar w:fldCharType="end"/>
      </w:r>
      <w:r w:rsidRPr="00A5572E">
        <w:rPr>
          <w:rFonts w:ascii="Arial" w:eastAsia="Times New Roman" w:hAnsi="Arial" w:cs="Arial"/>
          <w:color w:val="555555"/>
          <w:sz w:val="23"/>
          <w:szCs w:val="23"/>
          <w:lang w:eastAsia="es-ES"/>
        </w:rPr>
        <w:t>), al igual que las vacaciones de los funcionarios públicos (art. </w:t>
      </w:r>
      <w:hyperlink r:id="rId28" w:anchor="ancla_9633922" w:tgtFrame="_blank" w:history="1">
        <w:r w:rsidRPr="00A5572E">
          <w:rPr>
            <w:rFonts w:ascii="Arial" w:eastAsia="Times New Roman" w:hAnsi="Arial" w:cs="Arial"/>
            <w:color w:val="2F83E0"/>
            <w:sz w:val="23"/>
            <w:szCs w:val="23"/>
            <w:lang w:eastAsia="es-ES"/>
          </w:rPr>
          <w:t>50</w:t>
        </w:r>
      </w:hyperlink>
      <w:r w:rsidRPr="00A5572E">
        <w:rPr>
          <w:rFonts w:ascii="Arial" w:eastAsia="Times New Roman" w:hAnsi="Arial" w:cs="Arial"/>
          <w:color w:val="555555"/>
          <w:sz w:val="23"/>
          <w:szCs w:val="23"/>
          <w:lang w:eastAsia="es-ES"/>
        </w:rPr>
        <w:t> </w:t>
      </w:r>
      <w:proofErr w:type="spellStart"/>
      <w:r w:rsidRPr="00A5572E">
        <w:rPr>
          <w:rFonts w:ascii="Arial" w:eastAsia="Times New Roman" w:hAnsi="Arial" w:cs="Arial"/>
          <w:color w:val="555555"/>
          <w:sz w:val="23"/>
          <w:szCs w:val="23"/>
          <w:lang w:eastAsia="es-ES"/>
        </w:rPr>
        <w:t>TREBEP</w:t>
      </w:r>
      <w:proofErr w:type="spellEnd"/>
      <w:r w:rsidRPr="00A5572E">
        <w:rPr>
          <w:rFonts w:ascii="Arial" w:eastAsia="Times New Roman" w:hAnsi="Arial" w:cs="Arial"/>
          <w:color w:val="555555"/>
          <w:sz w:val="23"/>
          <w:szCs w:val="23"/>
          <w:lang w:eastAsia="es-ES"/>
        </w:rPr>
        <w:t>).  </w:t>
      </w:r>
    </w:p>
    <w:p w14:paraId="057A8520"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Se regulará por el art. </w:t>
      </w:r>
      <w:hyperlink r:id="rId29" w:anchor="ancla_9633879" w:tgtFrame="_blank" w:history="1">
        <w:r w:rsidRPr="00A5572E">
          <w:rPr>
            <w:rFonts w:ascii="Arial" w:eastAsia="Times New Roman" w:hAnsi="Arial" w:cs="Arial"/>
            <w:color w:val="2F83E0"/>
            <w:sz w:val="23"/>
            <w:szCs w:val="23"/>
            <w:lang w:eastAsia="es-ES"/>
          </w:rPr>
          <w:t>19</w:t>
        </w:r>
      </w:hyperlink>
      <w:r w:rsidRPr="00A5572E">
        <w:rPr>
          <w:rFonts w:ascii="Arial" w:eastAsia="Times New Roman" w:hAnsi="Arial" w:cs="Arial"/>
          <w:color w:val="555555"/>
          <w:sz w:val="23"/>
          <w:szCs w:val="23"/>
          <w:lang w:eastAsia="es-ES"/>
        </w:rPr>
        <w:t> </w:t>
      </w:r>
      <w:proofErr w:type="spellStart"/>
      <w:r w:rsidRPr="00A5572E">
        <w:rPr>
          <w:rFonts w:ascii="Arial" w:eastAsia="Times New Roman" w:hAnsi="Arial" w:cs="Arial"/>
          <w:color w:val="555555"/>
          <w:sz w:val="23"/>
          <w:szCs w:val="23"/>
          <w:lang w:eastAsia="es-ES"/>
        </w:rPr>
        <w:fldChar w:fldCharType="begin"/>
      </w:r>
      <w:r w:rsidRPr="00A5572E">
        <w:rPr>
          <w:rFonts w:ascii="Arial" w:eastAsia="Times New Roman" w:hAnsi="Arial" w:cs="Arial"/>
          <w:color w:val="555555"/>
          <w:sz w:val="23"/>
          <w:szCs w:val="23"/>
          <w:lang w:eastAsia="es-ES"/>
        </w:rPr>
        <w:instrText xml:space="preserve"> HYPERLINK "https://www.iberley.es/legislacion/ley-11-2020-30-dic-pge-2021-26743089" \t "_blank" </w:instrText>
      </w:r>
      <w:r w:rsidRPr="00A5572E">
        <w:rPr>
          <w:rFonts w:ascii="Arial" w:eastAsia="Times New Roman" w:hAnsi="Arial" w:cs="Arial"/>
          <w:color w:val="555555"/>
          <w:sz w:val="23"/>
          <w:szCs w:val="23"/>
          <w:lang w:eastAsia="es-ES"/>
        </w:rPr>
        <w:fldChar w:fldCharType="separate"/>
      </w:r>
      <w:r w:rsidRPr="00A5572E">
        <w:rPr>
          <w:rFonts w:ascii="Arial" w:eastAsia="Times New Roman" w:hAnsi="Arial" w:cs="Arial"/>
          <w:color w:val="2F83E0"/>
          <w:sz w:val="23"/>
          <w:szCs w:val="23"/>
          <w:lang w:eastAsia="es-ES"/>
        </w:rPr>
        <w:t>LPGE</w:t>
      </w:r>
      <w:proofErr w:type="spellEnd"/>
      <w:r w:rsidRPr="00A5572E">
        <w:rPr>
          <w:rFonts w:ascii="Arial" w:eastAsia="Times New Roman" w:hAnsi="Arial" w:cs="Arial"/>
          <w:color w:val="2F83E0"/>
          <w:sz w:val="23"/>
          <w:szCs w:val="23"/>
          <w:lang w:eastAsia="es-ES"/>
        </w:rPr>
        <w:t xml:space="preserve"> 2021</w:t>
      </w:r>
      <w:r w:rsidRPr="00A5572E">
        <w:rPr>
          <w:rFonts w:ascii="Arial" w:eastAsia="Times New Roman" w:hAnsi="Arial" w:cs="Arial"/>
          <w:color w:val="555555"/>
          <w:sz w:val="23"/>
          <w:szCs w:val="23"/>
          <w:lang w:eastAsia="es-ES"/>
        </w:rPr>
        <w:fldChar w:fldCharType="end"/>
      </w:r>
      <w:r w:rsidRPr="00A5572E">
        <w:rPr>
          <w:rFonts w:ascii="Arial" w:eastAsia="Times New Roman" w:hAnsi="Arial" w:cs="Arial"/>
          <w:color w:val="555555"/>
          <w:sz w:val="23"/>
          <w:szCs w:val="23"/>
          <w:lang w:eastAsia="es-ES"/>
        </w:rPr>
        <w:t xml:space="preserve"> la incorporación de personal de nuevo ingreso con una relación indefinida en el sector público sujeta a una tasa de reposición de efectivos del 110 por cien en los sectores prioritarios y del 100 por cien en los demás sectores. En los casos de entidades locales que tuvieran amortizada su deuda </w:t>
      </w:r>
      <w:r w:rsidRPr="00A5572E">
        <w:rPr>
          <w:rFonts w:ascii="Arial" w:eastAsia="Times New Roman" w:hAnsi="Arial" w:cs="Arial"/>
          <w:color w:val="555555"/>
          <w:sz w:val="23"/>
          <w:szCs w:val="23"/>
          <w:lang w:eastAsia="es-ES"/>
        </w:rPr>
        <w:lastRenderedPageBreak/>
        <w:t>financiera a 31 de diciembre del ejercicio anterior tendrán un 110 por cien de tasa en todos los sectores.</w:t>
      </w:r>
    </w:p>
    <w:p w14:paraId="4851DF16"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13.4.2 Retribuciones del personal al servicio del sector público (art. </w:t>
      </w:r>
      <w:hyperlink r:id="rId30" w:anchor="ancla_9633878" w:tgtFrame="_blank" w:history="1">
        <w:r w:rsidRPr="00A5572E">
          <w:rPr>
            <w:rFonts w:ascii="Arial" w:eastAsia="Times New Roman" w:hAnsi="Arial" w:cs="Arial"/>
            <w:b/>
            <w:bCs/>
            <w:color w:val="2F83E0"/>
            <w:sz w:val="23"/>
            <w:szCs w:val="23"/>
            <w:lang w:eastAsia="es-ES"/>
          </w:rPr>
          <w:t>18</w:t>
        </w:r>
      </w:hyperlink>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07E82D41"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En el año 2021, las retribuciones del personal al servicio del sector público no podrán experimentar un incremento global superior al 0,9 % respecto a las vigentes a 31 de diciembre de 2020, en términos de homogeneidad para los dos períodos de la comparación, tanto por lo que respecta a efectivos de personal como a la antigüedad de este. Los gastos de acción social no podrán incrementarse, en términos globales, respecto a los de 2020. A este respecto, se considera que los gastos en concepto de acción social son beneficios, complementos o mejoras distintos a las contraprestaciones por el trabajo realizado cuya finalidad es satisfacer determinadas necesidades consecuencia de circunstancias personales del citado personal al servicio del sector público.</w:t>
      </w:r>
    </w:p>
    <w:p w14:paraId="711CDD6B"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13.4.3 Recuperación de la paga extraordinaria y adicional del mes de diciembre de 2012 (DA 35ª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7B6744A8"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Las Administraciones y el resto de entidades que integran el sector público que no hubieran abonado la totalidad de las cantidades efectivamente dejadas de percibir como consecuencia de la supresión de la paga extraordinaria, así como de la paga adicional de complemento específico o pagas adicionales equivalentes, correspondientes al mes de diciembre de 2012, por aplicación del </w:t>
      </w:r>
      <w:hyperlink r:id="rId31" w:tgtFrame="_blank" w:history="1">
        <w:r w:rsidRPr="00A5572E">
          <w:rPr>
            <w:rFonts w:ascii="Arial" w:eastAsia="Times New Roman" w:hAnsi="Arial" w:cs="Arial"/>
            <w:color w:val="2F83E0"/>
            <w:sz w:val="23"/>
            <w:szCs w:val="23"/>
            <w:lang w:eastAsia="es-ES"/>
          </w:rPr>
          <w:t>Real Decreto-ley 20/2012, de 13 de julio</w:t>
        </w:r>
      </w:hyperlink>
      <w:r w:rsidRPr="00A5572E">
        <w:rPr>
          <w:rFonts w:ascii="Arial" w:eastAsia="Times New Roman" w:hAnsi="Arial" w:cs="Arial"/>
          <w:color w:val="555555"/>
          <w:sz w:val="23"/>
          <w:szCs w:val="23"/>
          <w:lang w:eastAsia="es-ES"/>
        </w:rPr>
        <w:t>, de medidas para garantizar la estabilidad presupuestaria y de fomento de la competitividad, podrán proceder a dicha devolución, teniendo en cuenta su situación económico-financiera.</w:t>
      </w:r>
    </w:p>
    <w:p w14:paraId="43C1EBB9"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b/>
          <w:bCs/>
          <w:color w:val="555555"/>
          <w:sz w:val="23"/>
          <w:szCs w:val="23"/>
          <w:lang w:eastAsia="es-ES"/>
        </w:rPr>
        <w:t>13.4.4 contratación de personal temporal o el nombramiento de personal estatutario temporal y de funcionarios interinos (art. </w:t>
      </w:r>
      <w:hyperlink r:id="rId32" w:anchor="ancla_9633879" w:tgtFrame="_blank" w:history="1">
        <w:r w:rsidRPr="00A5572E">
          <w:rPr>
            <w:rFonts w:ascii="Arial" w:eastAsia="Times New Roman" w:hAnsi="Arial" w:cs="Arial"/>
            <w:b/>
            <w:bCs/>
            <w:color w:val="2F83E0"/>
            <w:sz w:val="23"/>
            <w:szCs w:val="23"/>
            <w:lang w:eastAsia="es-ES"/>
          </w:rPr>
          <w:t>19</w:t>
        </w:r>
      </w:hyperlink>
      <w:r w:rsidRPr="00A5572E">
        <w:rPr>
          <w:rFonts w:ascii="Arial" w:eastAsia="Times New Roman" w:hAnsi="Arial" w:cs="Arial"/>
          <w:b/>
          <w:bCs/>
          <w:color w:val="555555"/>
          <w:sz w:val="23"/>
          <w:szCs w:val="23"/>
          <w:lang w:eastAsia="es-ES"/>
        </w:rPr>
        <w:t> </w:t>
      </w:r>
      <w:proofErr w:type="spellStart"/>
      <w:r w:rsidRPr="00A5572E">
        <w:rPr>
          <w:rFonts w:ascii="Arial" w:eastAsia="Times New Roman" w:hAnsi="Arial" w:cs="Arial"/>
          <w:b/>
          <w:bCs/>
          <w:color w:val="555555"/>
          <w:sz w:val="23"/>
          <w:szCs w:val="23"/>
          <w:lang w:eastAsia="es-ES"/>
        </w:rPr>
        <w:fldChar w:fldCharType="begin"/>
      </w:r>
      <w:r w:rsidRPr="00A5572E">
        <w:rPr>
          <w:rFonts w:ascii="Arial" w:eastAsia="Times New Roman" w:hAnsi="Arial" w:cs="Arial"/>
          <w:b/>
          <w:bCs/>
          <w:color w:val="555555"/>
          <w:sz w:val="23"/>
          <w:szCs w:val="23"/>
          <w:lang w:eastAsia="es-ES"/>
        </w:rPr>
        <w:instrText xml:space="preserve"> HYPERLINK "https://www.iberley.es/legislacion/ley-11-2020-30-dic-pge-2021-26743089" \t "_blank" </w:instrText>
      </w:r>
      <w:r w:rsidRPr="00A5572E">
        <w:rPr>
          <w:rFonts w:ascii="Arial" w:eastAsia="Times New Roman" w:hAnsi="Arial" w:cs="Arial"/>
          <w:b/>
          <w:bCs/>
          <w:color w:val="555555"/>
          <w:sz w:val="23"/>
          <w:szCs w:val="23"/>
          <w:lang w:eastAsia="es-ES"/>
        </w:rPr>
        <w:fldChar w:fldCharType="separate"/>
      </w:r>
      <w:r w:rsidRPr="00A5572E">
        <w:rPr>
          <w:rFonts w:ascii="Arial" w:eastAsia="Times New Roman" w:hAnsi="Arial" w:cs="Arial"/>
          <w:b/>
          <w:bCs/>
          <w:color w:val="2F83E0"/>
          <w:sz w:val="23"/>
          <w:szCs w:val="23"/>
          <w:lang w:eastAsia="es-ES"/>
        </w:rPr>
        <w:t>LPGE</w:t>
      </w:r>
      <w:proofErr w:type="spellEnd"/>
      <w:r w:rsidRPr="00A5572E">
        <w:rPr>
          <w:rFonts w:ascii="Arial" w:eastAsia="Times New Roman" w:hAnsi="Arial" w:cs="Arial"/>
          <w:b/>
          <w:bCs/>
          <w:color w:val="2F83E0"/>
          <w:sz w:val="23"/>
          <w:szCs w:val="23"/>
          <w:lang w:eastAsia="es-ES"/>
        </w:rPr>
        <w:t xml:space="preserve"> 2021</w:t>
      </w:r>
      <w:r w:rsidRPr="00A5572E">
        <w:rPr>
          <w:rFonts w:ascii="Arial" w:eastAsia="Times New Roman" w:hAnsi="Arial" w:cs="Arial"/>
          <w:b/>
          <w:bCs/>
          <w:color w:val="555555"/>
          <w:sz w:val="23"/>
          <w:szCs w:val="23"/>
          <w:lang w:eastAsia="es-ES"/>
        </w:rPr>
        <w:fldChar w:fldCharType="end"/>
      </w:r>
      <w:r w:rsidRPr="00A5572E">
        <w:rPr>
          <w:rFonts w:ascii="Arial" w:eastAsia="Times New Roman" w:hAnsi="Arial" w:cs="Arial"/>
          <w:b/>
          <w:bCs/>
          <w:color w:val="555555"/>
          <w:sz w:val="23"/>
          <w:szCs w:val="23"/>
          <w:lang w:eastAsia="es-ES"/>
        </w:rPr>
        <w:t>).</w:t>
      </w:r>
    </w:p>
    <w:p w14:paraId="017CFA71" w14:textId="77777777" w:rsidR="00A5572E" w:rsidRPr="00A5572E" w:rsidRDefault="00A5572E" w:rsidP="00E37A4D">
      <w:pPr>
        <w:shd w:val="clear" w:color="auto" w:fill="FFFFFF"/>
        <w:spacing w:after="150" w:line="240" w:lineRule="auto"/>
        <w:jc w:val="both"/>
        <w:rPr>
          <w:rFonts w:ascii="Arial" w:eastAsia="Times New Roman" w:hAnsi="Arial" w:cs="Arial"/>
          <w:color w:val="555555"/>
          <w:sz w:val="23"/>
          <w:szCs w:val="23"/>
          <w:lang w:eastAsia="es-ES"/>
        </w:rPr>
      </w:pPr>
      <w:r w:rsidRPr="00A5572E">
        <w:rPr>
          <w:rFonts w:ascii="Arial" w:eastAsia="Times New Roman" w:hAnsi="Arial" w:cs="Arial"/>
          <w:color w:val="555555"/>
          <w:sz w:val="23"/>
          <w:szCs w:val="23"/>
          <w:lang w:eastAsia="es-ES"/>
        </w:rPr>
        <w:t>No se podrá contratar personal temporal, ni realizar nombramientos de personal estatutario temporal y de funcionarios interinos excepto en casos excepcionales y para cubrir necesidades urgentes e inaplazables.</w:t>
      </w:r>
    </w:p>
    <w:p w14:paraId="13AA07FA" w14:textId="77777777" w:rsidR="00A5572E" w:rsidRDefault="00A5572E" w:rsidP="00E37A4D">
      <w:pPr>
        <w:jc w:val="both"/>
      </w:pPr>
    </w:p>
    <w:sectPr w:rsidR="00A557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06E5C"/>
    <w:multiLevelType w:val="multilevel"/>
    <w:tmpl w:val="2F6A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3728A"/>
    <w:multiLevelType w:val="multilevel"/>
    <w:tmpl w:val="AE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B5020"/>
    <w:multiLevelType w:val="multilevel"/>
    <w:tmpl w:val="2698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E3840"/>
    <w:multiLevelType w:val="multilevel"/>
    <w:tmpl w:val="7C88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C32D2"/>
    <w:multiLevelType w:val="multilevel"/>
    <w:tmpl w:val="DE1C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1066A"/>
    <w:multiLevelType w:val="multilevel"/>
    <w:tmpl w:val="5F0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F06D0"/>
    <w:multiLevelType w:val="multilevel"/>
    <w:tmpl w:val="F4B6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178E5"/>
    <w:multiLevelType w:val="multilevel"/>
    <w:tmpl w:val="6732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95683"/>
    <w:multiLevelType w:val="multilevel"/>
    <w:tmpl w:val="3CA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4"/>
  </w:num>
  <w:num w:numId="5">
    <w:abstractNumId w:val="3"/>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2E"/>
    <w:rsid w:val="004A1FDF"/>
    <w:rsid w:val="00A5572E"/>
    <w:rsid w:val="00AC6D8E"/>
    <w:rsid w:val="00CE3CCD"/>
    <w:rsid w:val="00E37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6A71"/>
  <w15:chartTrackingRefBased/>
  <w15:docId w15:val="{A4DBB623-D5F5-4ADA-B716-6DE61D12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55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572E"/>
    <w:rPr>
      <w:rFonts w:ascii="Times New Roman" w:eastAsia="Times New Roman" w:hAnsi="Times New Roman" w:cs="Times New Roman"/>
      <w:b/>
      <w:bCs/>
      <w:kern w:val="36"/>
      <w:sz w:val="48"/>
      <w:szCs w:val="48"/>
      <w:lang w:eastAsia="es-ES"/>
    </w:rPr>
  </w:style>
  <w:style w:type="numbering" w:customStyle="1" w:styleId="Sinlista1">
    <w:name w:val="Sin lista1"/>
    <w:next w:val="Sinlista"/>
    <w:uiPriority w:val="99"/>
    <w:semiHidden/>
    <w:unhideWhenUsed/>
    <w:rsid w:val="00A5572E"/>
  </w:style>
  <w:style w:type="paragraph" w:customStyle="1" w:styleId="msonormal0">
    <w:name w:val="msonormal"/>
    <w:basedOn w:val="Normal"/>
    <w:rsid w:val="00A557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4-visually-hidden">
    <w:name w:val="at4-visually-hidden"/>
    <w:basedOn w:val="Fuentedeprrafopredeter"/>
    <w:rsid w:val="00A5572E"/>
  </w:style>
  <w:style w:type="character" w:customStyle="1" w:styleId="at-icon-wrapper">
    <w:name w:val="at-icon-wrapper"/>
    <w:basedOn w:val="Fuentedeprrafopredeter"/>
    <w:rsid w:val="00A5572E"/>
  </w:style>
  <w:style w:type="paragraph" w:customStyle="1" w:styleId="text-right">
    <w:name w:val="text-right"/>
    <w:basedOn w:val="Normal"/>
    <w:rsid w:val="00A557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ta">
    <w:name w:val="eta"/>
    <w:basedOn w:val="Fuentedeprrafopredeter"/>
    <w:rsid w:val="00A5572E"/>
  </w:style>
  <w:style w:type="character" w:styleId="Hipervnculo">
    <w:name w:val="Hyperlink"/>
    <w:basedOn w:val="Fuentedeprrafopredeter"/>
    <w:uiPriority w:val="99"/>
    <w:semiHidden/>
    <w:unhideWhenUsed/>
    <w:rsid w:val="00A5572E"/>
    <w:rPr>
      <w:color w:val="0000FF"/>
      <w:u w:val="single"/>
    </w:rPr>
  </w:style>
  <w:style w:type="character" w:styleId="Hipervnculovisitado">
    <w:name w:val="FollowedHyperlink"/>
    <w:basedOn w:val="Fuentedeprrafopredeter"/>
    <w:uiPriority w:val="99"/>
    <w:semiHidden/>
    <w:unhideWhenUsed/>
    <w:rsid w:val="00A5572E"/>
    <w:rPr>
      <w:color w:val="800080"/>
      <w:u w:val="single"/>
    </w:rPr>
  </w:style>
  <w:style w:type="paragraph" w:customStyle="1" w:styleId="active">
    <w:name w:val="active"/>
    <w:basedOn w:val="Normal"/>
    <w:rsid w:val="00A557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557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s-cta-wrapper">
    <w:name w:val="hs-cta-wrapper"/>
    <w:basedOn w:val="Fuentedeprrafopredeter"/>
    <w:rsid w:val="00A5572E"/>
  </w:style>
  <w:style w:type="character" w:customStyle="1" w:styleId="hs-cta-node">
    <w:name w:val="hs-cta-node"/>
    <w:basedOn w:val="Fuentedeprrafopredeter"/>
    <w:rsid w:val="00A5572E"/>
  </w:style>
  <w:style w:type="character" w:styleId="Textoennegrita">
    <w:name w:val="Strong"/>
    <w:basedOn w:val="Fuentedeprrafopredeter"/>
    <w:uiPriority w:val="22"/>
    <w:qFormat/>
    <w:rsid w:val="00A5572E"/>
    <w:rPr>
      <w:b/>
      <w:bCs/>
    </w:rPr>
  </w:style>
  <w:style w:type="character" w:styleId="nfasis">
    <w:name w:val="Emphasis"/>
    <w:basedOn w:val="Fuentedeprrafopredeter"/>
    <w:uiPriority w:val="20"/>
    <w:qFormat/>
    <w:rsid w:val="00A55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43071">
      <w:bodyDiv w:val="1"/>
      <w:marLeft w:val="0"/>
      <w:marRight w:val="0"/>
      <w:marTop w:val="0"/>
      <w:marBottom w:val="0"/>
      <w:divBdr>
        <w:top w:val="none" w:sz="0" w:space="0" w:color="auto"/>
        <w:left w:val="none" w:sz="0" w:space="0" w:color="auto"/>
        <w:bottom w:val="none" w:sz="0" w:space="0" w:color="auto"/>
        <w:right w:val="none" w:sz="0" w:space="0" w:color="auto"/>
      </w:divBdr>
      <w:divsChild>
        <w:div w:id="502864256">
          <w:marLeft w:val="-225"/>
          <w:marRight w:val="-225"/>
          <w:marTop w:val="0"/>
          <w:marBottom w:val="0"/>
          <w:divBdr>
            <w:top w:val="none" w:sz="0" w:space="0" w:color="auto"/>
            <w:left w:val="none" w:sz="0" w:space="0" w:color="auto"/>
            <w:bottom w:val="none" w:sz="0" w:space="0" w:color="auto"/>
            <w:right w:val="none" w:sz="0" w:space="0" w:color="auto"/>
          </w:divBdr>
          <w:divsChild>
            <w:div w:id="935940890">
              <w:marLeft w:val="0"/>
              <w:marRight w:val="0"/>
              <w:marTop w:val="0"/>
              <w:marBottom w:val="0"/>
              <w:divBdr>
                <w:top w:val="none" w:sz="0" w:space="0" w:color="auto"/>
                <w:left w:val="none" w:sz="0" w:space="0" w:color="auto"/>
                <w:bottom w:val="none" w:sz="0" w:space="0" w:color="auto"/>
                <w:right w:val="none" w:sz="0" w:space="0" w:color="auto"/>
              </w:divBdr>
            </w:div>
          </w:divsChild>
        </w:div>
        <w:div w:id="1699117125">
          <w:marLeft w:val="-225"/>
          <w:marRight w:val="-225"/>
          <w:marTop w:val="0"/>
          <w:marBottom w:val="0"/>
          <w:divBdr>
            <w:top w:val="none" w:sz="0" w:space="0" w:color="auto"/>
            <w:left w:val="none" w:sz="0" w:space="0" w:color="auto"/>
            <w:bottom w:val="none" w:sz="0" w:space="0" w:color="auto"/>
            <w:right w:val="none" w:sz="0" w:space="0" w:color="auto"/>
          </w:divBdr>
          <w:divsChild>
            <w:div w:id="492137579">
              <w:marLeft w:val="0"/>
              <w:marRight w:val="0"/>
              <w:marTop w:val="0"/>
              <w:marBottom w:val="0"/>
              <w:divBdr>
                <w:top w:val="none" w:sz="0" w:space="0" w:color="auto"/>
                <w:left w:val="none" w:sz="0" w:space="0" w:color="auto"/>
                <w:bottom w:val="none" w:sz="0" w:space="0" w:color="auto"/>
                <w:right w:val="none" w:sz="0" w:space="0" w:color="auto"/>
              </w:divBdr>
              <w:divsChild>
                <w:div w:id="2124840614">
                  <w:marLeft w:val="0"/>
                  <w:marRight w:val="0"/>
                  <w:marTop w:val="0"/>
                  <w:marBottom w:val="0"/>
                  <w:divBdr>
                    <w:top w:val="none" w:sz="0" w:space="0" w:color="auto"/>
                    <w:left w:val="none" w:sz="0" w:space="0" w:color="auto"/>
                    <w:bottom w:val="none" w:sz="0" w:space="0" w:color="auto"/>
                    <w:right w:val="none" w:sz="0" w:space="0" w:color="auto"/>
                  </w:divBdr>
                </w:div>
                <w:div w:id="2008514209">
                  <w:marLeft w:val="0"/>
                  <w:marRight w:val="0"/>
                  <w:marTop w:val="0"/>
                  <w:marBottom w:val="0"/>
                  <w:divBdr>
                    <w:top w:val="none" w:sz="0" w:space="0" w:color="auto"/>
                    <w:left w:val="none" w:sz="0" w:space="0" w:color="auto"/>
                    <w:bottom w:val="none" w:sz="0" w:space="0" w:color="auto"/>
                    <w:right w:val="none" w:sz="0" w:space="0" w:color="auto"/>
                  </w:divBdr>
                  <w:divsChild>
                    <w:div w:id="674109842">
                      <w:marLeft w:val="0"/>
                      <w:marRight w:val="0"/>
                      <w:marTop w:val="0"/>
                      <w:marBottom w:val="0"/>
                      <w:divBdr>
                        <w:top w:val="none" w:sz="0" w:space="0" w:color="auto"/>
                        <w:left w:val="none" w:sz="0" w:space="0" w:color="auto"/>
                        <w:bottom w:val="none" w:sz="0" w:space="0" w:color="auto"/>
                        <w:right w:val="none" w:sz="0" w:space="0" w:color="auto"/>
                      </w:divBdr>
                      <w:divsChild>
                        <w:div w:id="380910410">
                          <w:marLeft w:val="0"/>
                          <w:marRight w:val="0"/>
                          <w:marTop w:val="0"/>
                          <w:marBottom w:val="0"/>
                          <w:divBdr>
                            <w:top w:val="none" w:sz="0" w:space="0" w:color="auto"/>
                            <w:left w:val="none" w:sz="0" w:space="0" w:color="auto"/>
                            <w:bottom w:val="none" w:sz="0" w:space="0" w:color="auto"/>
                            <w:right w:val="none" w:sz="0" w:space="0" w:color="auto"/>
                          </w:divBdr>
                        </w:div>
                        <w:div w:id="88745350">
                          <w:marLeft w:val="0"/>
                          <w:marRight w:val="0"/>
                          <w:marTop w:val="0"/>
                          <w:marBottom w:val="0"/>
                          <w:divBdr>
                            <w:top w:val="none" w:sz="0" w:space="0" w:color="auto"/>
                            <w:left w:val="none" w:sz="0" w:space="0" w:color="auto"/>
                            <w:bottom w:val="none" w:sz="0" w:space="0" w:color="auto"/>
                            <w:right w:val="none" w:sz="0" w:space="0" w:color="auto"/>
                          </w:divBdr>
                          <w:divsChild>
                            <w:div w:id="1311905400">
                              <w:marLeft w:val="0"/>
                              <w:marRight w:val="0"/>
                              <w:marTop w:val="0"/>
                              <w:marBottom w:val="0"/>
                              <w:divBdr>
                                <w:top w:val="none" w:sz="0" w:space="0" w:color="auto"/>
                                <w:left w:val="none" w:sz="0" w:space="0" w:color="auto"/>
                                <w:bottom w:val="none" w:sz="0" w:space="0" w:color="auto"/>
                                <w:right w:val="none" w:sz="0" w:space="0" w:color="auto"/>
                              </w:divBdr>
                              <w:divsChild>
                                <w:div w:id="573320636">
                                  <w:marLeft w:val="0"/>
                                  <w:marRight w:val="0"/>
                                  <w:marTop w:val="0"/>
                                  <w:marBottom w:val="0"/>
                                  <w:divBdr>
                                    <w:top w:val="none" w:sz="0" w:space="0" w:color="auto"/>
                                    <w:left w:val="none" w:sz="0" w:space="0" w:color="auto"/>
                                    <w:bottom w:val="none" w:sz="0" w:space="0" w:color="auto"/>
                                    <w:right w:val="none" w:sz="0" w:space="0" w:color="auto"/>
                                  </w:divBdr>
                                </w:div>
                                <w:div w:id="1505902019">
                                  <w:marLeft w:val="0"/>
                                  <w:marRight w:val="0"/>
                                  <w:marTop w:val="0"/>
                                  <w:marBottom w:val="0"/>
                                  <w:divBdr>
                                    <w:top w:val="none" w:sz="0" w:space="0" w:color="auto"/>
                                    <w:left w:val="none" w:sz="0" w:space="0" w:color="auto"/>
                                    <w:bottom w:val="none" w:sz="0" w:space="0" w:color="auto"/>
                                    <w:right w:val="none" w:sz="0" w:space="0" w:color="auto"/>
                                  </w:divBdr>
                                </w:div>
                                <w:div w:id="2057460417">
                                  <w:marLeft w:val="0"/>
                                  <w:marRight w:val="0"/>
                                  <w:marTop w:val="0"/>
                                  <w:marBottom w:val="0"/>
                                  <w:divBdr>
                                    <w:top w:val="none" w:sz="0" w:space="0" w:color="auto"/>
                                    <w:left w:val="none" w:sz="0" w:space="0" w:color="auto"/>
                                    <w:bottom w:val="none" w:sz="0" w:space="0" w:color="auto"/>
                                    <w:right w:val="none" w:sz="0" w:space="0" w:color="auto"/>
                                  </w:divBdr>
                                </w:div>
                                <w:div w:id="72046804">
                                  <w:marLeft w:val="0"/>
                                  <w:marRight w:val="0"/>
                                  <w:marTop w:val="0"/>
                                  <w:marBottom w:val="0"/>
                                  <w:divBdr>
                                    <w:top w:val="none" w:sz="0" w:space="0" w:color="auto"/>
                                    <w:left w:val="none" w:sz="0" w:space="0" w:color="auto"/>
                                    <w:bottom w:val="none" w:sz="0" w:space="0" w:color="auto"/>
                                    <w:right w:val="none" w:sz="0" w:space="0" w:color="auto"/>
                                  </w:divBdr>
                                </w:div>
                                <w:div w:id="891890019">
                                  <w:marLeft w:val="0"/>
                                  <w:marRight w:val="0"/>
                                  <w:marTop w:val="0"/>
                                  <w:marBottom w:val="0"/>
                                  <w:divBdr>
                                    <w:top w:val="none" w:sz="0" w:space="0" w:color="auto"/>
                                    <w:left w:val="none" w:sz="0" w:space="0" w:color="auto"/>
                                    <w:bottom w:val="none" w:sz="0" w:space="0" w:color="auto"/>
                                    <w:right w:val="none" w:sz="0" w:space="0" w:color="auto"/>
                                  </w:divBdr>
                                </w:div>
                                <w:div w:id="1087965829">
                                  <w:marLeft w:val="0"/>
                                  <w:marRight w:val="0"/>
                                  <w:marTop w:val="0"/>
                                  <w:marBottom w:val="0"/>
                                  <w:divBdr>
                                    <w:top w:val="none" w:sz="0" w:space="0" w:color="auto"/>
                                    <w:left w:val="none" w:sz="0" w:space="0" w:color="auto"/>
                                    <w:bottom w:val="none" w:sz="0" w:space="0" w:color="auto"/>
                                    <w:right w:val="none" w:sz="0" w:space="0" w:color="auto"/>
                                  </w:divBdr>
                                </w:div>
                                <w:div w:id="262416915">
                                  <w:marLeft w:val="0"/>
                                  <w:marRight w:val="0"/>
                                  <w:marTop w:val="0"/>
                                  <w:marBottom w:val="0"/>
                                  <w:divBdr>
                                    <w:top w:val="none" w:sz="0" w:space="0" w:color="auto"/>
                                    <w:left w:val="none" w:sz="0" w:space="0" w:color="auto"/>
                                    <w:bottom w:val="none" w:sz="0" w:space="0" w:color="auto"/>
                                    <w:right w:val="none" w:sz="0" w:space="0" w:color="auto"/>
                                  </w:divBdr>
                                </w:div>
                                <w:div w:id="1851598893">
                                  <w:marLeft w:val="0"/>
                                  <w:marRight w:val="0"/>
                                  <w:marTop w:val="0"/>
                                  <w:marBottom w:val="0"/>
                                  <w:divBdr>
                                    <w:top w:val="none" w:sz="0" w:space="0" w:color="auto"/>
                                    <w:left w:val="none" w:sz="0" w:space="0" w:color="auto"/>
                                    <w:bottom w:val="none" w:sz="0" w:space="0" w:color="auto"/>
                                    <w:right w:val="none" w:sz="0" w:space="0" w:color="auto"/>
                                  </w:divBdr>
                                </w:div>
                                <w:div w:id="601304934">
                                  <w:marLeft w:val="0"/>
                                  <w:marRight w:val="0"/>
                                  <w:marTop w:val="0"/>
                                  <w:marBottom w:val="0"/>
                                  <w:divBdr>
                                    <w:top w:val="none" w:sz="0" w:space="0" w:color="auto"/>
                                    <w:left w:val="none" w:sz="0" w:space="0" w:color="auto"/>
                                    <w:bottom w:val="none" w:sz="0" w:space="0" w:color="auto"/>
                                    <w:right w:val="none" w:sz="0" w:space="0" w:color="auto"/>
                                  </w:divBdr>
                                </w:div>
                                <w:div w:id="789400336">
                                  <w:marLeft w:val="0"/>
                                  <w:marRight w:val="0"/>
                                  <w:marTop w:val="0"/>
                                  <w:marBottom w:val="0"/>
                                  <w:divBdr>
                                    <w:top w:val="none" w:sz="0" w:space="0" w:color="auto"/>
                                    <w:left w:val="none" w:sz="0" w:space="0" w:color="auto"/>
                                    <w:bottom w:val="none" w:sz="0" w:space="0" w:color="auto"/>
                                    <w:right w:val="none" w:sz="0" w:space="0" w:color="auto"/>
                                  </w:divBdr>
                                </w:div>
                                <w:div w:id="1825513719">
                                  <w:marLeft w:val="0"/>
                                  <w:marRight w:val="0"/>
                                  <w:marTop w:val="0"/>
                                  <w:marBottom w:val="0"/>
                                  <w:divBdr>
                                    <w:top w:val="none" w:sz="0" w:space="0" w:color="auto"/>
                                    <w:left w:val="none" w:sz="0" w:space="0" w:color="auto"/>
                                    <w:bottom w:val="none" w:sz="0" w:space="0" w:color="auto"/>
                                    <w:right w:val="none" w:sz="0" w:space="0" w:color="auto"/>
                                  </w:divBdr>
                                </w:div>
                                <w:div w:id="1827669998">
                                  <w:marLeft w:val="0"/>
                                  <w:marRight w:val="0"/>
                                  <w:marTop w:val="0"/>
                                  <w:marBottom w:val="0"/>
                                  <w:divBdr>
                                    <w:top w:val="none" w:sz="0" w:space="0" w:color="auto"/>
                                    <w:left w:val="none" w:sz="0" w:space="0" w:color="auto"/>
                                    <w:bottom w:val="none" w:sz="0" w:space="0" w:color="auto"/>
                                    <w:right w:val="none" w:sz="0" w:space="0" w:color="auto"/>
                                  </w:divBdr>
                                </w:div>
                                <w:div w:id="1966693300">
                                  <w:marLeft w:val="0"/>
                                  <w:marRight w:val="0"/>
                                  <w:marTop w:val="0"/>
                                  <w:marBottom w:val="0"/>
                                  <w:divBdr>
                                    <w:top w:val="none" w:sz="0" w:space="0" w:color="auto"/>
                                    <w:left w:val="none" w:sz="0" w:space="0" w:color="auto"/>
                                    <w:bottom w:val="none" w:sz="0" w:space="0" w:color="auto"/>
                                    <w:right w:val="none" w:sz="0" w:space="0" w:color="auto"/>
                                  </w:divBdr>
                                </w:div>
                                <w:div w:id="735779692">
                                  <w:marLeft w:val="0"/>
                                  <w:marRight w:val="0"/>
                                  <w:marTop w:val="0"/>
                                  <w:marBottom w:val="0"/>
                                  <w:divBdr>
                                    <w:top w:val="none" w:sz="0" w:space="0" w:color="auto"/>
                                    <w:left w:val="none" w:sz="0" w:space="0" w:color="auto"/>
                                    <w:bottom w:val="none" w:sz="0" w:space="0" w:color="auto"/>
                                    <w:right w:val="none" w:sz="0" w:space="0" w:color="auto"/>
                                  </w:divBdr>
                                </w:div>
                                <w:div w:id="439448062">
                                  <w:marLeft w:val="0"/>
                                  <w:marRight w:val="0"/>
                                  <w:marTop w:val="0"/>
                                  <w:marBottom w:val="0"/>
                                  <w:divBdr>
                                    <w:top w:val="none" w:sz="0" w:space="0" w:color="auto"/>
                                    <w:left w:val="none" w:sz="0" w:space="0" w:color="auto"/>
                                    <w:bottom w:val="none" w:sz="0" w:space="0" w:color="auto"/>
                                    <w:right w:val="none" w:sz="0" w:space="0" w:color="auto"/>
                                  </w:divBdr>
                                </w:div>
                                <w:div w:id="19106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erley.es/legislacion/rdleg-2-2015-23-oct-estatuto-trabajadores-23860101" TargetMode="External"/><Relationship Id="rId18" Type="http://schemas.openxmlformats.org/officeDocument/2006/relationships/hyperlink" Target="https://www.iberley.es/legislacion/rdleg-8-2015-30-oct-tr-ley-general-seguridad-social-lgss-23990341" TargetMode="External"/><Relationship Id="rId26" Type="http://schemas.openxmlformats.org/officeDocument/2006/relationships/hyperlink" Target="https://www.iberley.es/legislacion/rdleg-5-2015-30-oct-tr-ley-estatuto-basico-empleado-publico-23990291?ancla=9283191" TargetMode="External"/><Relationship Id="rId3" Type="http://schemas.openxmlformats.org/officeDocument/2006/relationships/settings" Target="settings.xml"/><Relationship Id="rId21" Type="http://schemas.openxmlformats.org/officeDocument/2006/relationships/hyperlink" Target="https://www.iberley.es/legislacion/ley-3-2019-1-mar-mejora-situacion-orfandad-hijas-hijos-victimas-violencia-genero-26197353" TargetMode="External"/><Relationship Id="rId34" Type="http://schemas.openxmlformats.org/officeDocument/2006/relationships/theme" Target="theme/theme1.xml"/><Relationship Id="rId7" Type="http://schemas.openxmlformats.org/officeDocument/2006/relationships/hyperlink" Target="https://www.iberley.es/legislacion/ley-11-2020-30-dic-pge-2021-26743089?ancla=9634022" TargetMode="External"/><Relationship Id="rId12" Type="http://schemas.openxmlformats.org/officeDocument/2006/relationships/hyperlink" Target="https://www.iberley.es/legislacion/rdleg-2-2015-23-oct-estatuto-trabajadores-23860101?ancla=9265371" TargetMode="External"/><Relationship Id="rId17" Type="http://schemas.openxmlformats.org/officeDocument/2006/relationships/hyperlink" Target="https://www.iberley.es/legislacion/rdleg-2-2015-23-oct-estatuto-trabajadores-23860101" TargetMode="External"/><Relationship Id="rId25" Type="http://schemas.openxmlformats.org/officeDocument/2006/relationships/hyperlink" Target="https://www.iberley.es/legislacion/rd-ley-6-2019-1-mar-medidas-urgentes-garantia-igualdad-trato-oportunidades-entre-mujeres-hombres-empleo-ocupacion-262020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berley.es/legislacion/rdleg-2-2015-23-oct-estatuto-trabajadores-23860101?ancla=9265481" TargetMode="External"/><Relationship Id="rId20" Type="http://schemas.openxmlformats.org/officeDocument/2006/relationships/hyperlink" Target="https://www.iberley.es/legislacion/ley-11-2020-30-dic-pge-2021-26743089?ancla=9633899" TargetMode="External"/><Relationship Id="rId29" Type="http://schemas.openxmlformats.org/officeDocument/2006/relationships/hyperlink" Target="https://www.iberley.es/legislacion/ley-11-2020-30-dic-pge-2021-26743089?ancla=9633879" TargetMode="External"/><Relationship Id="rId1" Type="http://schemas.openxmlformats.org/officeDocument/2006/relationships/numbering" Target="numbering.xml"/><Relationship Id="rId6" Type="http://schemas.openxmlformats.org/officeDocument/2006/relationships/hyperlink" Target="https://www.iberley.es/legislacion/rd-ley-38-2020-29-dic-medidas-adaptacion-situacion-reino-unido-irlanda-norte-finalizacion-periodo-transitorio-previsto-acuerdo-sobre-retirada-ue-26742013" TargetMode="External"/><Relationship Id="rId11" Type="http://schemas.openxmlformats.org/officeDocument/2006/relationships/hyperlink" Target="https://www.iberley.es/legislacion/rdleg-2-2015-23-oct-estatuto-trabajadores-23860101" TargetMode="External"/><Relationship Id="rId24" Type="http://schemas.openxmlformats.org/officeDocument/2006/relationships/hyperlink" Target="https://www.iberley.es/legislacion/real-decreto-231-2020-4-feb-salario-minimo-interprofesional-2020-26490731" TargetMode="External"/><Relationship Id="rId32" Type="http://schemas.openxmlformats.org/officeDocument/2006/relationships/hyperlink" Target="https://www.iberley.es/legislacion/ley-11-2020-30-dic-pge-2021-26743089?ancla=9633879" TargetMode="External"/><Relationship Id="rId5" Type="http://schemas.openxmlformats.org/officeDocument/2006/relationships/hyperlink" Target="https://www.iberley.es/legislacion/ley-11-2020-30-dic-pge-2021-26743089?ancla=9633910" TargetMode="External"/><Relationship Id="rId15" Type="http://schemas.openxmlformats.org/officeDocument/2006/relationships/hyperlink" Target="https://www.iberley.es/legislacion/rdleg-2-2015-23-oct-estatuto-trabajadores-23860101" TargetMode="External"/><Relationship Id="rId23" Type="http://schemas.openxmlformats.org/officeDocument/2006/relationships/hyperlink" Target="https://www.iberley.es/legislacion/rd-ley-38-2020-29-dic-medidas-adaptacion-situacion-reino-unido-irlanda-norte-finalizacion-periodo-transitorio-previsto-acuerdo-sobre-retirada-ue-26742013" TargetMode="External"/><Relationship Id="rId28" Type="http://schemas.openxmlformats.org/officeDocument/2006/relationships/hyperlink" Target="https://www.iberley.es/legislacion/ley-11-2020-30-dic-pge-2021-26743089?ancla=9633922" TargetMode="External"/><Relationship Id="rId10" Type="http://schemas.openxmlformats.org/officeDocument/2006/relationships/hyperlink" Target="https://www.iberley.es/legislacion/rdleg-2-2015-23-oct-estatuto-trabajadores-23860101?ancla=9265101" TargetMode="External"/><Relationship Id="rId19" Type="http://schemas.openxmlformats.org/officeDocument/2006/relationships/hyperlink" Target="https://www.iberley.es/legislacion/rdleg-8-2015-30-oct-tr-ley-general-seguridad-social-lgss-23990341" TargetMode="External"/><Relationship Id="rId31" Type="http://schemas.openxmlformats.org/officeDocument/2006/relationships/hyperlink" Target="https://www.iberley.es/legislacion/rd-ley-20-2012-13-jul-medidas-garantizar-estabilidad-presupuestaria-fomento-competitividad-9954216" TargetMode="External"/><Relationship Id="rId4" Type="http://schemas.openxmlformats.org/officeDocument/2006/relationships/webSettings" Target="webSettings.xml"/><Relationship Id="rId9" Type="http://schemas.openxmlformats.org/officeDocument/2006/relationships/hyperlink" Target="https://www.iberley.es/legislacion/orden-tms-83-2019-31-ene-normas-cotizacion-2019-26169438" TargetMode="External"/><Relationship Id="rId14" Type="http://schemas.openxmlformats.org/officeDocument/2006/relationships/hyperlink" Target="https://www.iberley.es/legislacion/rdleg-2-2015-23-oct-estatuto-trabajadores-23860101?ancla=9265471" TargetMode="External"/><Relationship Id="rId22" Type="http://schemas.openxmlformats.org/officeDocument/2006/relationships/hyperlink" Target="https://www.iberley.es/legislacion/ley-11-2020-30-dic-pge-2021-26743089?ancla=9633910" TargetMode="External"/><Relationship Id="rId27" Type="http://schemas.openxmlformats.org/officeDocument/2006/relationships/hyperlink" Target="https://www.iberley.es/legislacion/rdleg-5-2015-30-oct-tr-ley-estatuto-basico-empleado-publico-23990291?ancla=9283201" TargetMode="External"/><Relationship Id="rId30" Type="http://schemas.openxmlformats.org/officeDocument/2006/relationships/hyperlink" Target="https://www.iberley.es/legislacion/ley-11-2020-30-dic-pge-2021-26743089?ancla=9633878" TargetMode="External"/><Relationship Id="rId8" Type="http://schemas.openxmlformats.org/officeDocument/2006/relationships/hyperlink" Target="https://www.iberley.es/legislacion/rd-ley-28-2018-28-dic-revalorizacion-pensiones-publicas-medidas-urgentes-26140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4954</Words>
  <Characters>27247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2021-01-19T11:29:00Z</dcterms:created>
  <dcterms:modified xsi:type="dcterms:W3CDTF">2021-01-19T13:23:00Z</dcterms:modified>
</cp:coreProperties>
</file>